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98113D" w:rsidRPr="009173B0" w:rsidRDefault="0098113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1C2C2A">
        <w:rPr>
          <w:rFonts w:ascii="Times New Roman" w:hAnsi="Times New Roman" w:cs="Times New Roman"/>
          <w:noProof/>
          <w:sz w:val="24"/>
          <w:szCs w:val="24"/>
        </w:rPr>
        <w:t>0</w:t>
      </w:r>
      <w:r w:rsidRPr="009173B0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B11571" w:rsidRPr="009173B0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9173B0">
        <w:rPr>
          <w:rFonts w:ascii="Times New Roman" w:hAnsi="Times New Roman" w:cs="Times New Roman"/>
          <w:sz w:val="24"/>
          <w:szCs w:val="24"/>
        </w:rPr>
        <w:t>дисциплиной вариативной части.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0256D8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02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CF5515" w:rsidRPr="000256D8" w:rsidRDefault="00F16F8D" w:rsidP="000256D8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  <w:r w:rsidR="00CB3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6725">
        <w:rPr>
          <w:rFonts w:ascii="Times New Roman" w:hAnsi="Times New Roman" w:cs="Times New Roman"/>
          <w:sz w:val="24"/>
          <w:szCs w:val="24"/>
        </w:rPr>
        <w:t>71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1C2C2A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C6725">
        <w:rPr>
          <w:rFonts w:ascii="Times New Roman" w:hAnsi="Times New Roman" w:cs="Times New Roman"/>
          <w:sz w:val="24"/>
          <w:szCs w:val="24"/>
        </w:rPr>
        <w:t>45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</w:t>
      </w:r>
      <w:r w:rsidR="00FC6725">
        <w:rPr>
          <w:rFonts w:ascii="Times New Roman" w:hAnsi="Times New Roman" w:cs="Times New Roman"/>
          <w:sz w:val="24"/>
          <w:szCs w:val="24"/>
        </w:rPr>
        <w:t>ы</w:t>
      </w:r>
      <w:r w:rsidRPr="009173B0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1C2C2A">
        <w:rPr>
          <w:rFonts w:ascii="Times New Roman" w:hAnsi="Times New Roman" w:cs="Times New Roman"/>
          <w:sz w:val="24"/>
          <w:szCs w:val="24"/>
        </w:rPr>
        <w:t>ой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1C2C2A">
        <w:rPr>
          <w:rFonts w:ascii="Times New Roman" w:hAnsi="Times New Roman" w:cs="Times New Roman"/>
          <w:sz w:val="24"/>
          <w:szCs w:val="24"/>
        </w:rPr>
        <w:t>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6D8"/>
    <w:rsid w:val="0018270C"/>
    <w:rsid w:val="001C2C2A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1D04"/>
    <w:rsid w:val="006C6EB8"/>
    <w:rsid w:val="006E6419"/>
    <w:rsid w:val="0071516B"/>
    <w:rsid w:val="007E3C95"/>
    <w:rsid w:val="00884368"/>
    <w:rsid w:val="009173B0"/>
    <w:rsid w:val="0098113D"/>
    <w:rsid w:val="009A1B47"/>
    <w:rsid w:val="009D72E2"/>
    <w:rsid w:val="009E4ADA"/>
    <w:rsid w:val="00AF2A8B"/>
    <w:rsid w:val="00B11571"/>
    <w:rsid w:val="00B87D72"/>
    <w:rsid w:val="00BE35B7"/>
    <w:rsid w:val="00C376B9"/>
    <w:rsid w:val="00CA35C1"/>
    <w:rsid w:val="00CB323D"/>
    <w:rsid w:val="00CB6766"/>
    <w:rsid w:val="00CF5515"/>
    <w:rsid w:val="00D06585"/>
    <w:rsid w:val="00D5166C"/>
    <w:rsid w:val="00DA1DC6"/>
    <w:rsid w:val="00F16F8D"/>
    <w:rsid w:val="00FB5D2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C931-F9F2-4024-B6C4-E83AA4B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32</cp:revision>
  <cp:lastPrinted>2016-02-19T12:08:00Z</cp:lastPrinted>
  <dcterms:created xsi:type="dcterms:W3CDTF">2016-02-10T06:02:00Z</dcterms:created>
  <dcterms:modified xsi:type="dcterms:W3CDTF">2019-04-24T12:14:00Z</dcterms:modified>
</cp:coreProperties>
</file>