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AF70E5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850FAC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</w:t>
      </w:r>
      <w:r w:rsidRPr="00850FAC">
        <w:rPr>
          <w:rFonts w:eastAsia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053DD8">
        <w:rPr>
          <w:rFonts w:eastAsia="Times New Roman"/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BB776B">
        <w:rPr>
          <w:rFonts w:eastAsia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Pr="00104973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E9260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357045" w:rsidRDefault="00AD2C72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D299C" w:rsidRDefault="00AD299C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D299C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-1467761</wp:posOffset>
            </wp:positionH>
            <wp:positionV relativeFrom="paragraph">
              <wp:posOffset>-789664</wp:posOffset>
            </wp:positionV>
            <wp:extent cx="7959725" cy="10724322"/>
            <wp:effectExtent l="0" t="0" r="3175" b="1270"/>
            <wp:wrapNone/>
            <wp:docPr id="2" name="Рисунок 2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523" cy="107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9C" w:rsidRDefault="00AD299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57045" w:rsidRDefault="00357045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57045" w:rsidRDefault="00357045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357045" w:rsidRDefault="00104973" w:rsidP="00357045">
      <w:pPr>
        <w:spacing w:after="0" w:line="240" w:lineRule="auto"/>
        <w:ind w:left="2124" w:firstLine="708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50FAC">
        <w:rPr>
          <w:rFonts w:eastAsia="Times New Roman"/>
          <w:sz w:val="28"/>
          <w:szCs w:val="28"/>
          <w:lang w:eastAsia="ru-RU"/>
        </w:rPr>
        <w:t>12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850FAC">
        <w:rPr>
          <w:rFonts w:eastAsia="Times New Roman"/>
          <w:sz w:val="28"/>
          <w:szCs w:val="28"/>
          <w:lang w:eastAsia="ru-RU"/>
        </w:rPr>
        <w:t>сентя</w:t>
      </w:r>
      <w:r w:rsidR="00F70FE4">
        <w:rPr>
          <w:rFonts w:eastAsia="Times New Roman"/>
          <w:sz w:val="28"/>
          <w:szCs w:val="28"/>
          <w:lang w:eastAsia="ru-RU"/>
        </w:rPr>
        <w:t xml:space="preserve">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7A27AB">
        <w:rPr>
          <w:rFonts w:eastAsia="Times New Roman"/>
          <w:sz w:val="28"/>
          <w:szCs w:val="28"/>
          <w:lang w:eastAsia="ru-RU"/>
        </w:rPr>
        <w:t>1</w:t>
      </w:r>
      <w:r w:rsidR="00850FAC">
        <w:rPr>
          <w:rFonts w:eastAsia="Times New Roman"/>
          <w:sz w:val="28"/>
          <w:szCs w:val="28"/>
          <w:lang w:eastAsia="ru-RU"/>
        </w:rPr>
        <w:t>160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850FAC">
        <w:rPr>
          <w:rFonts w:eastAsia="Times New Roman"/>
          <w:sz w:val="28"/>
          <w:szCs w:val="28"/>
          <w:lang w:eastAsia="ru-RU"/>
        </w:rPr>
        <w:t>23.05.06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850FAC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E468F9" w:rsidRDefault="004B5222" w:rsidP="004B522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фундаментальные понятия, законы и теории</w:t>
      </w:r>
      <w:r w:rsidRPr="00E468F9">
        <w:rPr>
          <w:rFonts w:ascii="Times New Roman" w:hAnsi="Times New Roman" w:cs="Times New Roman"/>
          <w:sz w:val="28"/>
          <w:szCs w:val="28"/>
        </w:rPr>
        <w:t xml:space="preserve"> классической и современной физики,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Default="004B5222" w:rsidP="004B5222">
      <w:pPr>
        <w:spacing w:after="0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AA0FC4" w:rsidRDefault="004B5222" w:rsidP="004B5222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описания физических явлений и процессов, определяющих принципы работы различных технических устройств.</w:t>
      </w:r>
    </w:p>
    <w:p w:rsidR="00AD2C72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AD2C72" w:rsidRDefault="00AD2C72" w:rsidP="00AD2C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2504F">
        <w:rPr>
          <w:color w:val="000000"/>
          <w:sz w:val="28"/>
          <w:szCs w:val="28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color w:val="000000"/>
          <w:sz w:val="28"/>
          <w:szCs w:val="28"/>
        </w:rPr>
        <w:t xml:space="preserve"> (ОПК-2);</w:t>
      </w:r>
    </w:p>
    <w:p w:rsidR="00AD2C72" w:rsidRPr="00827B6A" w:rsidRDefault="00AD2C72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504F">
        <w:rPr>
          <w:rFonts w:eastAsia="Times New Roman"/>
          <w:color w:val="000000"/>
          <w:sz w:val="28"/>
          <w:szCs w:val="28"/>
          <w:lang w:eastAsia="ru-RU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C6809" w:rsidRDefault="00104973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4C6809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FF739C" w:rsidRPr="00104973" w:rsidRDefault="00FF739C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C02F9" w:rsidRDefault="00FC02F9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C02F9" w:rsidRDefault="00FC02F9" w:rsidP="00FC02F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080"/>
        <w:gridCol w:w="1260"/>
        <w:gridCol w:w="1183"/>
      </w:tblGrid>
      <w:tr w:rsidR="00FC02F9" w:rsidRPr="004D1B70" w:rsidTr="00FC02F9">
        <w:trPr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02F9" w:rsidRDefault="00FF739C" w:rsidP="00FC02F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FC02F9">
        <w:rPr>
          <w:rFonts w:eastAsia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76"/>
        <w:gridCol w:w="1701"/>
        <w:gridCol w:w="1570"/>
      </w:tblGrid>
      <w:tr w:rsidR="00FC02F9" w:rsidRPr="00A96175" w:rsidTr="00FF739C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лекции</w:t>
            </w:r>
            <w:proofErr w:type="gramEnd"/>
            <w:r w:rsidRPr="00A96175">
              <w:rPr>
                <w:sz w:val="28"/>
                <w:szCs w:val="28"/>
              </w:rPr>
              <w:t xml:space="preserve"> (Л)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lastRenderedPageBreak/>
              <w:t>практические</w:t>
            </w:r>
            <w:proofErr w:type="gramEnd"/>
            <w:r w:rsidRPr="00A96175">
              <w:rPr>
                <w:sz w:val="28"/>
                <w:szCs w:val="28"/>
              </w:rPr>
              <w:t xml:space="preserve"> занятия (ПЗ)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лабораторные</w:t>
            </w:r>
            <w:proofErr w:type="gramEnd"/>
            <w:r w:rsidRPr="00A96175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="00FC02F9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C02F9" w:rsidRPr="00A96175">
              <w:rPr>
                <w:sz w:val="28"/>
                <w:szCs w:val="28"/>
              </w:rPr>
              <w:t>экзамен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FF739C" w:rsidRDefault="00104973" w:rsidP="00FF739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</w:t>
            </w:r>
            <w:r w:rsidRPr="004D1B70">
              <w:rPr>
                <w:sz w:val="20"/>
                <w:szCs w:val="20"/>
              </w:rPr>
              <w:lastRenderedPageBreak/>
              <w:t xml:space="preserve">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20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</w:t>
            </w:r>
            <w:r w:rsidR="008D3351">
              <w:t>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16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596C6A" w:rsidRDefault="00104973" w:rsidP="00826C0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5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826C0E" w:rsidP="000D2638">
            <w:pPr>
              <w:pStyle w:val="a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40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A72B4F" w:rsidP="000D2638">
            <w:pPr>
              <w:pStyle w:val="a9"/>
            </w:pPr>
            <w:r>
              <w:t>3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241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104973" w:rsidRDefault="008D3351" w:rsidP="008D335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72556D" w:rsidRDefault="008D3351" w:rsidP="008D3351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104973" w:rsidRPr="00104973" w:rsidRDefault="00104973" w:rsidP="00C932AD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F35" w:rsidRPr="00A40BBE" w:rsidRDefault="00B12F35" w:rsidP="00B12F3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8D3351" w:rsidRPr="001E66B9" w:rsidRDefault="008D3351" w:rsidP="008D3351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8D3351" w:rsidRPr="00104973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8D3351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B12F35" w:rsidRPr="00B12F35" w:rsidRDefault="00B12F35" w:rsidP="00B12F3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</w:t>
      </w:r>
      <w:r w:rsidR="00FF739C">
        <w:rPr>
          <w:rFonts w:eastAsia="Times New Roman"/>
          <w:bCs/>
          <w:sz w:val="28"/>
          <w:szCs w:val="28"/>
          <w:lang w:eastAsia="ru-RU"/>
        </w:rPr>
        <w:t>ормативно-правовая документация</w:t>
      </w:r>
      <w:r w:rsidRPr="00AD2955">
        <w:rPr>
          <w:rFonts w:eastAsia="Times New Roman"/>
          <w:bCs/>
          <w:sz w:val="28"/>
          <w:szCs w:val="28"/>
          <w:lang w:eastAsia="ru-RU"/>
        </w:rPr>
        <w:t xml:space="preserve">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DF5737">
        <w:rPr>
          <w:szCs w:val="24"/>
        </w:rPr>
        <w:t>20</w:t>
      </w:r>
      <w:r w:rsidR="00DF5737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FF57AE" w:rsidRPr="00E31A39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113. - Интерференция звуковых волн.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FF57AE" w:rsidRPr="000719C7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104973" w:rsidRDefault="00FF57AE" w:rsidP="00C932A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827B6A" w:rsidRPr="00C932AD" w:rsidRDefault="00827B6A" w:rsidP="00827B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0B8" w:rsidRDefault="009540B8" w:rsidP="009540B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</w:t>
      </w:r>
      <w:r>
        <w:rPr>
          <w:rFonts w:eastAsia="Arial Unicode MS"/>
          <w:bCs/>
          <w:sz w:val="28"/>
          <w:szCs w:val="28"/>
        </w:rPr>
        <w:lastRenderedPageBreak/>
        <w:t>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0B8" w:rsidRPr="009540B8" w:rsidRDefault="009540B8" w:rsidP="009540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3351" w:rsidRPr="008E3E80" w:rsidRDefault="008D3351" w:rsidP="008D335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8D3351" w:rsidRPr="00104973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8D3351" w:rsidRPr="001773E7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D3351" w:rsidRPr="00A40BBE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8D3351" w:rsidRDefault="008D3351" w:rsidP="008D335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540B8" w:rsidRPr="009540B8" w:rsidRDefault="009540B8" w:rsidP="009540B8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27B6A" w:rsidRDefault="009540B8" w:rsidP="009540B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«Строительство магистральных железных дорог» и соответствует действующим санитарным и противопожарным нормам и правилам.</w:t>
      </w:r>
    </w:p>
    <w:p w:rsidR="00AD299C" w:rsidRDefault="00AD299C" w:rsidP="008D3351">
      <w:pPr>
        <w:ind w:firstLine="851"/>
        <w:jc w:val="both"/>
        <w:rPr>
          <w:bCs/>
          <w:sz w:val="28"/>
        </w:rPr>
      </w:pPr>
    </w:p>
    <w:p w:rsidR="00744617" w:rsidRPr="00AD299C" w:rsidRDefault="00AD299C" w:rsidP="00AD299C">
      <w:pPr>
        <w:spacing w:after="0" w:line="240" w:lineRule="auto"/>
        <w:rPr>
          <w:bCs/>
          <w:sz w:val="28"/>
        </w:rPr>
      </w:pPr>
      <w:r w:rsidRPr="00AD299C"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E9DA6E" wp14:editId="596D9643">
            <wp:simplePos x="0" y="0"/>
            <wp:positionH relativeFrom="column">
              <wp:posOffset>-1288857</wp:posOffset>
            </wp:positionH>
            <wp:positionV relativeFrom="paragraph">
              <wp:posOffset>-680333</wp:posOffset>
            </wp:positionV>
            <wp:extent cx="7771502" cy="10694145"/>
            <wp:effectExtent l="0" t="0" r="1270" b="0"/>
            <wp:wrapNone/>
            <wp:docPr id="3" name="Рисунок 3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82" cy="1070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4617" w:rsidRPr="00AD299C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53DD8"/>
    <w:rsid w:val="00061DAB"/>
    <w:rsid w:val="000D2638"/>
    <w:rsid w:val="000E1457"/>
    <w:rsid w:val="00104973"/>
    <w:rsid w:val="001259F3"/>
    <w:rsid w:val="00145133"/>
    <w:rsid w:val="001679F7"/>
    <w:rsid w:val="001A7CF3"/>
    <w:rsid w:val="001E03DC"/>
    <w:rsid w:val="001F7BFA"/>
    <w:rsid w:val="002D5970"/>
    <w:rsid w:val="00334D42"/>
    <w:rsid w:val="003540D1"/>
    <w:rsid w:val="00357045"/>
    <w:rsid w:val="00385656"/>
    <w:rsid w:val="003A7553"/>
    <w:rsid w:val="003B58D5"/>
    <w:rsid w:val="003E370E"/>
    <w:rsid w:val="00400685"/>
    <w:rsid w:val="00442332"/>
    <w:rsid w:val="00461115"/>
    <w:rsid w:val="00475951"/>
    <w:rsid w:val="004B5222"/>
    <w:rsid w:val="004C6809"/>
    <w:rsid w:val="004D1B70"/>
    <w:rsid w:val="00566189"/>
    <w:rsid w:val="005B5A48"/>
    <w:rsid w:val="00663833"/>
    <w:rsid w:val="0071740E"/>
    <w:rsid w:val="00744617"/>
    <w:rsid w:val="00770865"/>
    <w:rsid w:val="007A27AB"/>
    <w:rsid w:val="007B19F4"/>
    <w:rsid w:val="00826C0E"/>
    <w:rsid w:val="00827B6A"/>
    <w:rsid w:val="00850FAC"/>
    <w:rsid w:val="008A6B50"/>
    <w:rsid w:val="008D3351"/>
    <w:rsid w:val="009540B8"/>
    <w:rsid w:val="00972AB7"/>
    <w:rsid w:val="00A16079"/>
    <w:rsid w:val="00A2504F"/>
    <w:rsid w:val="00A72B4F"/>
    <w:rsid w:val="00A9611F"/>
    <w:rsid w:val="00A96175"/>
    <w:rsid w:val="00AD2955"/>
    <w:rsid w:val="00AD299C"/>
    <w:rsid w:val="00AD2C72"/>
    <w:rsid w:val="00AE3A8A"/>
    <w:rsid w:val="00AF2CA2"/>
    <w:rsid w:val="00AF70E5"/>
    <w:rsid w:val="00B12F35"/>
    <w:rsid w:val="00B1668E"/>
    <w:rsid w:val="00BA18A2"/>
    <w:rsid w:val="00BB776B"/>
    <w:rsid w:val="00BD762D"/>
    <w:rsid w:val="00BF48B5"/>
    <w:rsid w:val="00C73853"/>
    <w:rsid w:val="00C932AD"/>
    <w:rsid w:val="00CA314D"/>
    <w:rsid w:val="00CE0771"/>
    <w:rsid w:val="00D81E7C"/>
    <w:rsid w:val="00D96C21"/>
    <w:rsid w:val="00D96E0F"/>
    <w:rsid w:val="00DC0EC6"/>
    <w:rsid w:val="00DE28F3"/>
    <w:rsid w:val="00DE73A0"/>
    <w:rsid w:val="00DF5737"/>
    <w:rsid w:val="00E010D6"/>
    <w:rsid w:val="00E23995"/>
    <w:rsid w:val="00E420CC"/>
    <w:rsid w:val="00E446B0"/>
    <w:rsid w:val="00E540B0"/>
    <w:rsid w:val="00E55E7C"/>
    <w:rsid w:val="00E92600"/>
    <w:rsid w:val="00EF1A2E"/>
    <w:rsid w:val="00F129C3"/>
    <w:rsid w:val="00F330A4"/>
    <w:rsid w:val="00F5303B"/>
    <w:rsid w:val="00F64AEA"/>
    <w:rsid w:val="00F70FE4"/>
    <w:rsid w:val="00F816D4"/>
    <w:rsid w:val="00F842D2"/>
    <w:rsid w:val="00FA5090"/>
    <w:rsid w:val="00FC02F9"/>
    <w:rsid w:val="00FE29B4"/>
    <w:rsid w:val="00FF57AE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D7D5-8876-47AD-979F-F14191F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21F1-C76D-428B-AE97-7930EB82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2</cp:revision>
  <cp:lastPrinted>2018-05-28T10:49:00Z</cp:lastPrinted>
  <dcterms:created xsi:type="dcterms:W3CDTF">2018-06-04T09:29:00Z</dcterms:created>
  <dcterms:modified xsi:type="dcterms:W3CDTF">2018-06-04T09:29:00Z</dcterms:modified>
</cp:coreProperties>
</file>