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8" w:rsidRPr="00152A7C" w:rsidRDefault="00403EB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403EB8" w:rsidRPr="00152A7C" w:rsidRDefault="00403EB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403EB8" w:rsidRPr="00152A7C" w:rsidRDefault="00403EB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403EB8" w:rsidRPr="00152A7C" w:rsidRDefault="00403EB8" w:rsidP="00744617">
      <w:pPr>
        <w:contextualSpacing/>
        <w:rPr>
          <w:szCs w:val="24"/>
        </w:rPr>
      </w:pPr>
    </w:p>
    <w:p w:rsidR="00403EB8" w:rsidRPr="00152A7C" w:rsidRDefault="00403EB8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403EB8" w:rsidRPr="00152A7C" w:rsidRDefault="00403EB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403EB8" w:rsidRDefault="00403EB8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403EB8" w:rsidRPr="00152A7C" w:rsidRDefault="00403EB8" w:rsidP="00744617">
      <w:pPr>
        <w:contextualSpacing/>
        <w:jc w:val="both"/>
        <w:rPr>
          <w:szCs w:val="24"/>
        </w:rPr>
      </w:pPr>
    </w:p>
    <w:p w:rsidR="00403EB8" w:rsidRPr="00152A7C" w:rsidRDefault="00403EB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03EB8" w:rsidRDefault="00403EB8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403EB8" w:rsidRPr="007E3C95" w:rsidRDefault="00403EB8" w:rsidP="00307EFF">
      <w:pPr>
        <w:spacing w:line="240" w:lineRule="auto"/>
        <w:contextualSpacing/>
        <w:jc w:val="both"/>
        <w:rPr>
          <w:szCs w:val="24"/>
        </w:rPr>
      </w:pPr>
    </w:p>
    <w:p w:rsidR="00403EB8" w:rsidRDefault="00403EB8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403EB8" w:rsidRDefault="00403EB8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403EB8" w:rsidRPr="005E168C" w:rsidRDefault="00403EB8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403EB8" w:rsidRPr="00152A7C" w:rsidRDefault="00403EB8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403EB8" w:rsidRPr="001764B9" w:rsidRDefault="00403EB8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403EB8" w:rsidRPr="005E168C" w:rsidRDefault="00403EB8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устройств станций;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403EB8" w:rsidRPr="005E168C" w:rsidRDefault="00403EB8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технико-экономических расчётов, в т.ч.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403EB8" w:rsidRPr="005E168C" w:rsidRDefault="00403EB8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403EB8" w:rsidRDefault="00403EB8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403EB8" w:rsidRPr="001764B9" w:rsidRDefault="00403EB8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403EB8" w:rsidRDefault="00403EB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403EB8" w:rsidRDefault="00403EB8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403EB8" w:rsidRPr="006638A2" w:rsidTr="005E168C">
        <w:tc>
          <w:tcPr>
            <w:tcW w:w="995" w:type="dxa"/>
          </w:tcPr>
          <w:p w:rsidR="00403EB8" w:rsidRPr="006638A2" w:rsidRDefault="00403EB8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403EB8" w:rsidRPr="006638A2" w:rsidRDefault="00403EB8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403EB8" w:rsidRDefault="00403EB8" w:rsidP="00744617">
      <w:pPr>
        <w:contextualSpacing/>
        <w:jc w:val="both"/>
        <w:rPr>
          <w:b/>
          <w:szCs w:val="24"/>
        </w:rPr>
      </w:pPr>
    </w:p>
    <w:p w:rsidR="00403EB8" w:rsidRDefault="00403EB8" w:rsidP="00744617">
      <w:pPr>
        <w:contextualSpacing/>
        <w:jc w:val="both"/>
        <w:rPr>
          <w:b/>
          <w:szCs w:val="24"/>
        </w:rPr>
      </w:pPr>
    </w:p>
    <w:p w:rsidR="00403EB8" w:rsidRDefault="00403EB8" w:rsidP="00744617">
      <w:pPr>
        <w:contextualSpacing/>
        <w:jc w:val="both"/>
        <w:rPr>
          <w:b/>
          <w:szCs w:val="24"/>
        </w:rPr>
      </w:pPr>
    </w:p>
    <w:p w:rsidR="00403EB8" w:rsidRPr="00152A7C" w:rsidRDefault="00403EB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403EB8" w:rsidRDefault="00403EB8" w:rsidP="007D21D4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14_ зачетные единицы (504</w:t>
      </w:r>
      <w:r w:rsidRPr="00152A7C">
        <w:rPr>
          <w:szCs w:val="24"/>
        </w:rPr>
        <w:t>час.), в том числе:</w:t>
      </w:r>
      <w:r w:rsidRPr="007D21D4">
        <w:rPr>
          <w:szCs w:val="24"/>
        </w:rPr>
        <w:t xml:space="preserve"> </w:t>
      </w:r>
    </w:p>
    <w:p w:rsidR="00403EB8" w:rsidRPr="00152A7C" w:rsidRDefault="00403EB8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403EB8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403EB8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403EB8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403EB8" w:rsidRPr="006638A2" w:rsidRDefault="00403EB8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403EB8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</w:t>
            </w:r>
            <w:r>
              <w:rPr>
                <w:szCs w:val="24"/>
              </w:rPr>
              <w:t>07</w:t>
            </w:r>
          </w:p>
        </w:tc>
      </w:tr>
      <w:tr w:rsidR="00403EB8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403EB8" w:rsidRPr="006638A2" w:rsidRDefault="00403EB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403EB8" w:rsidRDefault="00403EB8" w:rsidP="007D21D4">
      <w:pPr>
        <w:contextualSpacing/>
        <w:jc w:val="both"/>
        <w:rPr>
          <w:szCs w:val="24"/>
        </w:rPr>
      </w:pPr>
    </w:p>
    <w:p w:rsidR="00403EB8" w:rsidRDefault="00403EB8" w:rsidP="007D21D4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403EB8" w:rsidRPr="006638A2" w:rsidTr="007D21D4">
        <w:trPr>
          <w:trHeight w:val="273"/>
          <w:jc w:val="center"/>
        </w:trPr>
        <w:tc>
          <w:tcPr>
            <w:tcW w:w="5235" w:type="dxa"/>
            <w:vMerge w:val="restart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403EB8" w:rsidRPr="006638A2" w:rsidTr="00391FD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403EB8" w:rsidRPr="006638A2" w:rsidTr="00391FD2">
        <w:trPr>
          <w:trHeight w:val="615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391FD2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403EB8" w:rsidRPr="006638A2" w:rsidRDefault="00403EB8" w:rsidP="00391FD2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403EB8" w:rsidRPr="006638A2" w:rsidTr="00391FD2">
        <w:trPr>
          <w:trHeight w:val="8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403EB8" w:rsidRPr="006638A2" w:rsidTr="00391FD2">
        <w:trPr>
          <w:trHeight w:val="7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403EB8" w:rsidRPr="006638A2" w:rsidRDefault="00403EB8" w:rsidP="00391FD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403EB8" w:rsidRDefault="00403EB8" w:rsidP="00744617">
      <w:pPr>
        <w:contextualSpacing/>
        <w:jc w:val="both"/>
        <w:rPr>
          <w:szCs w:val="24"/>
        </w:rPr>
      </w:pPr>
    </w:p>
    <w:p w:rsidR="00403EB8" w:rsidRDefault="00403EB8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403EB8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403EB8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403EB8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403EB8" w:rsidRPr="006638A2" w:rsidRDefault="00403EB8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03EB8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03EB8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403EB8" w:rsidRPr="006638A2" w:rsidRDefault="00403EB8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403EB8" w:rsidRDefault="00403EB8" w:rsidP="00744617">
      <w:pPr>
        <w:contextualSpacing/>
        <w:jc w:val="both"/>
        <w:rPr>
          <w:szCs w:val="24"/>
        </w:rPr>
      </w:pPr>
    </w:p>
    <w:sectPr w:rsidR="00403EB8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55EA"/>
    <w:rsid w:val="00071E2D"/>
    <w:rsid w:val="000824FB"/>
    <w:rsid w:val="00097703"/>
    <w:rsid w:val="000E1457"/>
    <w:rsid w:val="00104973"/>
    <w:rsid w:val="00145133"/>
    <w:rsid w:val="00152A7C"/>
    <w:rsid w:val="001679F7"/>
    <w:rsid w:val="001764B9"/>
    <w:rsid w:val="001A7CF3"/>
    <w:rsid w:val="001F32CD"/>
    <w:rsid w:val="00206158"/>
    <w:rsid w:val="00272A76"/>
    <w:rsid w:val="00307EFF"/>
    <w:rsid w:val="00391FD2"/>
    <w:rsid w:val="003E6BB6"/>
    <w:rsid w:val="00403EB8"/>
    <w:rsid w:val="00416BC7"/>
    <w:rsid w:val="00461115"/>
    <w:rsid w:val="00463FA2"/>
    <w:rsid w:val="00566189"/>
    <w:rsid w:val="005A2389"/>
    <w:rsid w:val="005B5D13"/>
    <w:rsid w:val="005E168C"/>
    <w:rsid w:val="006638A2"/>
    <w:rsid w:val="006D4E67"/>
    <w:rsid w:val="0070249A"/>
    <w:rsid w:val="007330DA"/>
    <w:rsid w:val="00744617"/>
    <w:rsid w:val="00766E40"/>
    <w:rsid w:val="007B19F4"/>
    <w:rsid w:val="007C7390"/>
    <w:rsid w:val="007D21D4"/>
    <w:rsid w:val="007E3C95"/>
    <w:rsid w:val="00986C3D"/>
    <w:rsid w:val="00A06D23"/>
    <w:rsid w:val="00A338E2"/>
    <w:rsid w:val="00AD6FD2"/>
    <w:rsid w:val="00AF4F12"/>
    <w:rsid w:val="00BB4885"/>
    <w:rsid w:val="00BE1A78"/>
    <w:rsid w:val="00BF48B5"/>
    <w:rsid w:val="00CA314D"/>
    <w:rsid w:val="00CC6745"/>
    <w:rsid w:val="00CF3387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  <w:rsid w:val="00E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891</Words>
  <Characters>5085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8</cp:revision>
  <cp:lastPrinted>2018-06-21T08:26:00Z</cp:lastPrinted>
  <dcterms:created xsi:type="dcterms:W3CDTF">2017-01-10T12:29:00Z</dcterms:created>
  <dcterms:modified xsi:type="dcterms:W3CDTF">2018-06-21T08:27:00Z</dcterms:modified>
</cp:coreProperties>
</file>