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Pr="00403D4E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Pr="000A0CA4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B73A7" w:rsidRPr="000A0CA4" w:rsidRDefault="00EB73A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EB73A7" w:rsidRPr="000A0CA4" w:rsidRDefault="00EB73A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B73A7" w:rsidRPr="000A0CA4" w:rsidRDefault="00EB73A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EB73A7" w:rsidRPr="000A0CA4" w:rsidRDefault="00EB73A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Pr="00FD024F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ПК-5,  ПК-24.</w:t>
      </w:r>
    </w:p>
    <w:p w:rsidR="00EB73A7" w:rsidRPr="00A168D6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EB73A7" w:rsidRPr="000A0CA4" w:rsidRDefault="00EB73A7" w:rsidP="00EB73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A7" w:rsidRPr="000A0CA4" w:rsidRDefault="00EB73A7" w:rsidP="00EB73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EB73A7" w:rsidRPr="000A0CA4" w:rsidRDefault="00EB73A7" w:rsidP="00EB73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A7" w:rsidRPr="000A0CA4" w:rsidRDefault="00EB73A7" w:rsidP="00EB73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EB73A7" w:rsidRPr="000A0CA4" w:rsidRDefault="00EB73A7" w:rsidP="00EB73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A7" w:rsidRPr="000A0CA4" w:rsidRDefault="00EB73A7" w:rsidP="00EB73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EB73A7" w:rsidRDefault="00EB73A7" w:rsidP="00EB7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EB73A7" w:rsidRPr="00DC2E47" w:rsidTr="00CA6737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EB73A7" w:rsidRPr="00DC2E47" w:rsidTr="00CA6737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</w:t>
            </w:r>
          </w:p>
        </w:tc>
      </w:tr>
      <w:tr w:rsidR="00EB73A7" w:rsidRPr="00DC2E47" w:rsidTr="00CA6737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 «</w:t>
            </w:r>
            <w:proofErr w:type="spellStart"/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Нетяговый</w:t>
            </w:r>
            <w:proofErr w:type="spellEnd"/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Введение в предмет «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Нетяговый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подвижной состав».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Понятие о 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нетяговой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подвижной единице – несамоходном вагоне локомотивной тяги, как </w:t>
            </w:r>
            <w:proofErr w:type="gram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основного технического средства</w:t>
            </w:r>
            <w:proofErr w:type="gram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обеспечивающего перевозку пассажиров и грузов.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Исторически сведения о развитии вагоностроения.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Вклад отечественных учёных в развитие науки о вагонах, в вагоностроительную отрасль. Общая 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компановка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вагона.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color w:val="000000"/>
                <w:w w:val="103"/>
                <w:sz w:val="23"/>
                <w:szCs w:val="23"/>
              </w:rPr>
              <w:t xml:space="preserve"> Вагонный парк железных дорог России и его классификация.</w:t>
            </w:r>
          </w:p>
        </w:tc>
      </w:tr>
      <w:tr w:rsidR="00EB73A7" w:rsidRPr="00DC2E47" w:rsidTr="00CA6737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нетягового</w:t>
            </w:r>
            <w:proofErr w:type="spellEnd"/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подвижного состава (НПС)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Типы габаритов подвижного состава и их основные размеры. 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Роль габаритов в обеспечении безопасности движения поездов.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Ремонтные и эксплуатационные предприятия Вагонного хозяйства.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EB73A7" w:rsidRPr="00DC2E47" w:rsidTr="00CA6737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EB73A7" w:rsidRPr="00DC2E47" w:rsidRDefault="00EB73A7" w:rsidP="00CA6737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Устройство колёсных пар, их разновидности.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к колёсным парам в эксплуатации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Буксы вагонов, назначение и конструктивные особенности. 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Рессорное подвешивание, назначение, классификация и особенности конструкций.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EB73A7" w:rsidRPr="00DC2E47" w:rsidTr="00CA6737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Особенности конструктивных типов вагонов по каждой группе.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Особенности конструкций универсальных и специализированных вагонов.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Вагоны промышленного транспорта: типы, параметры, конструкция.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EB73A7" w:rsidRPr="00DC2E47" w:rsidTr="00DC2E47">
        <w:trPr>
          <w:cantSplit/>
          <w:trHeight w:val="25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2</w:t>
            </w:r>
          </w:p>
        </w:tc>
      </w:tr>
      <w:tr w:rsidR="00EB73A7" w:rsidRPr="00DC2E47" w:rsidTr="00CA6737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Классификация вагонов-цистерн,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Крепление котла на раме.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EB73A7" w:rsidRPr="00DC2E47" w:rsidTr="00CA6737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Классификация изотермического подвижного состава.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История развития изотермического ПС в России.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Рефрижераторный подвижной состав, его типы, параметры, конструкция.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Способы получения технического холода.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Понятие о холодильных машинах рефрижераторного подвижного состава.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Техническое обслуживание и экипировка рефрижераторного подвижного состава.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Вагоны –термосы.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Перспективы развития  изотермического подвижного состава в России.</w:t>
            </w:r>
          </w:p>
        </w:tc>
      </w:tr>
      <w:tr w:rsidR="00EB73A7" w:rsidRPr="00DC2E47" w:rsidTr="00CA6737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3</w:t>
            </w:r>
          </w:p>
        </w:tc>
      </w:tr>
      <w:tr w:rsidR="00EB73A7" w:rsidRPr="00DC2E47" w:rsidTr="00CA6737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Типы пассажирских вагонов РФ и стран СНГ.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Требования к пассажирским вагонам.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Общие конструктивные элементы пассажирских вагонов.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Внутреннее оборудование пассажирских вагонов </w:t>
            </w:r>
          </w:p>
        </w:tc>
      </w:tr>
      <w:tr w:rsidR="00EB73A7" w:rsidRPr="00DC2E47" w:rsidTr="00CA6737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Разновидности систем жизнеобеспечения пассажирских вагонов. </w:t>
            </w:r>
          </w:p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Их назначение условия эксплуатации, расположение их компонентов на вагоне.</w:t>
            </w:r>
          </w:p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Современная оснастка систем жизнеобеспечения пассажирских вагонов.</w:t>
            </w:r>
          </w:p>
        </w:tc>
      </w:tr>
      <w:tr w:rsidR="00EB73A7" w:rsidRPr="00DC2E47" w:rsidTr="00CA6737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Классификация тормозных систем НПС.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Принципы работы тормозов.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Устройство механической рычажной передачи.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Пневматические приборы и аппараты тормозных систем вагонов.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Органы управления тормозных систем и их приборов.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Техника безопасности при техническом обслуживании тормозов НПС.</w:t>
            </w:r>
          </w:p>
        </w:tc>
      </w:tr>
    </w:tbl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C1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1C1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1C1F96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68C9"/>
    <w:rsid w:val="00055BF2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76C17"/>
    <w:rsid w:val="00AC05E1"/>
    <w:rsid w:val="00AE13A5"/>
    <w:rsid w:val="00B25E44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3F13-753C-4D4E-9058-2265F8E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A892-621A-494A-8394-7B2AF1CE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9</cp:revision>
  <cp:lastPrinted>2016-02-19T06:41:00Z</cp:lastPrinted>
  <dcterms:created xsi:type="dcterms:W3CDTF">2018-01-17T10:38:00Z</dcterms:created>
  <dcterms:modified xsi:type="dcterms:W3CDTF">2018-06-07T10:39:00Z</dcterms:modified>
</cp:coreProperties>
</file>