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F716BE">
        <w:rPr>
          <w:rFonts w:ascii="Arial" w:hAnsi="Arial" w:cs="Arial"/>
          <w:b/>
          <w:bCs/>
          <w:color w:val="000000"/>
          <w:sz w:val="18"/>
          <w:szCs w:val="18"/>
          <w:shd w:val="clear" w:color="auto" w:fill="D9E6F4"/>
        </w:rPr>
        <w:t> </w:t>
      </w:r>
      <w:r w:rsidR="00F716BE" w:rsidRPr="00F716BE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1F074F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F074F" w:rsidRPr="0021136F" w:rsidRDefault="001F074F" w:rsidP="001F07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 СОГЛАСОВАНИЙ </w:t>
      </w:r>
    </w:p>
    <w:p w:rsidR="001F074F" w:rsidRPr="0021136F" w:rsidRDefault="001F074F" w:rsidP="001F074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74F" w:rsidRPr="0021136F" w:rsidRDefault="001F074F" w:rsidP="001F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 «Теплотехника и теплосиловые установки»</w:t>
      </w:r>
    </w:p>
    <w:p w:rsidR="00BC3B4E" w:rsidRPr="0021136F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F20D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6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24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>» __</w:t>
      </w:r>
      <w:r w:rsidRPr="00F20D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 2018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1F074F" w:rsidRPr="0021136F" w:rsidRDefault="001F074F" w:rsidP="001F07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1F074F" w:rsidRPr="0021136F" w:rsidTr="0035232D">
        <w:tc>
          <w:tcPr>
            <w:tcW w:w="5070" w:type="dxa"/>
          </w:tcPr>
          <w:p w:rsidR="001F074F" w:rsidRPr="0021136F" w:rsidRDefault="00BC3B4E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15FAB69" wp14:editId="7E3FDAF8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30480</wp:posOffset>
                  </wp:positionV>
                  <wp:extent cx="1457325" cy="619125"/>
                  <wp:effectExtent l="0" t="0" r="9525" b="9525"/>
                  <wp:wrapNone/>
                  <wp:docPr id="3" name="Рисунок 3" descr="C:\Users\user\Desktop\Локомотивы теплотехника 2016\На сайт\img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комотивы теплотехника 2016\На сайт\img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02" t="16704" r="27012" b="77280"/>
                          <a:stretch/>
                        </pic:blipFill>
                        <pic:spPr bwMode="auto">
                          <a:xfrm>
                            <a:off x="0" y="0"/>
                            <a:ext cx="1457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74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1F074F" w:rsidRPr="0021136F" w:rsidTr="0035232D">
        <w:tc>
          <w:tcPr>
            <w:tcW w:w="5070" w:type="dxa"/>
          </w:tcPr>
          <w:p w:rsidR="001F074F" w:rsidRPr="0021136F" w:rsidRDefault="00BC3B4E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EF657A">
        <w:tc>
          <w:tcPr>
            <w:tcW w:w="5070" w:type="dxa"/>
          </w:tcPr>
          <w:p w:rsidR="001F074F" w:rsidRDefault="00BC3B4E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148BCA62" wp14:editId="51DFD51C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107950</wp:posOffset>
                  </wp:positionV>
                  <wp:extent cx="1418590" cy="1133475"/>
                  <wp:effectExtent l="0" t="0" r="0" b="9525"/>
                  <wp:wrapNone/>
                  <wp:docPr id="5" name="Рисунок 5" descr="C:\Users\Krasn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asnov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40" t="68409" r="24973" b="18068"/>
                          <a:stretch/>
                        </pic:blipFill>
                        <pic:spPr bwMode="auto">
                          <a:xfrm>
                            <a:off x="0" y="0"/>
                            <a:ext cx="141859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896" w:type="dxa"/>
            <w:vAlign w:val="bottom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40" w:type="dxa"/>
            <w:vAlign w:val="bottom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1F074F" w:rsidRPr="0021136F" w:rsidTr="00EF657A">
        <w:tc>
          <w:tcPr>
            <w:tcW w:w="5070" w:type="dxa"/>
          </w:tcPr>
          <w:p w:rsidR="001F074F" w:rsidRPr="0021136F" w:rsidRDefault="00BC3B4E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EF657A">
        <w:tc>
          <w:tcPr>
            <w:tcW w:w="5070" w:type="dxa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074F" w:rsidRPr="0021136F" w:rsidRDefault="001F074F" w:rsidP="001F0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EF657A">
        <w:tc>
          <w:tcPr>
            <w:tcW w:w="5070" w:type="dxa"/>
          </w:tcPr>
          <w:p w:rsidR="001F074F" w:rsidRPr="00921467" w:rsidRDefault="00BC3B4E" w:rsidP="001F074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EE7E566" wp14:editId="61585398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114300</wp:posOffset>
                  </wp:positionV>
                  <wp:extent cx="1628775" cy="876300"/>
                  <wp:effectExtent l="0" t="0" r="9525" b="0"/>
                  <wp:wrapNone/>
                  <wp:docPr id="4" name="Рисунок 4" descr="C:\Users\user\Desktop\Локомотивы теплотехника 2016\На сайт\img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комотивы теплотехника 2016\На сайт\img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20" t="27441" r="27143" b="64044"/>
                          <a:stretch/>
                        </pic:blipFill>
                        <pic:spPr bwMode="auto"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74F"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методической комиссии факультета  «Транспортные и энергетические системы»</w:t>
            </w:r>
          </w:p>
        </w:tc>
        <w:tc>
          <w:tcPr>
            <w:tcW w:w="1896" w:type="dxa"/>
            <w:vAlign w:val="bottom"/>
          </w:tcPr>
          <w:p w:rsidR="001F074F" w:rsidRPr="00921467" w:rsidRDefault="001F074F" w:rsidP="001F074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40" w:type="dxa"/>
          </w:tcPr>
          <w:p w:rsidR="001F074F" w:rsidRPr="00921467" w:rsidRDefault="001F074F" w:rsidP="001F074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074F" w:rsidRPr="00921467" w:rsidRDefault="001F074F" w:rsidP="001F074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074F" w:rsidRPr="00921467" w:rsidRDefault="00BC3B4E" w:rsidP="001F074F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1F074F" w:rsidRPr="0021136F" w:rsidTr="00EF657A">
        <w:tc>
          <w:tcPr>
            <w:tcW w:w="5070" w:type="dxa"/>
          </w:tcPr>
          <w:p w:rsidR="001F074F" w:rsidRPr="00921467" w:rsidRDefault="00BC3B4E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1F074F" w:rsidRPr="00921467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074F" w:rsidRPr="00921467" w:rsidRDefault="001F074F" w:rsidP="001F0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EF657A">
        <w:tc>
          <w:tcPr>
            <w:tcW w:w="5070" w:type="dxa"/>
          </w:tcPr>
          <w:p w:rsidR="001F074F" w:rsidRPr="00E53AD0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1F074F" w:rsidRPr="00E53AD0" w:rsidRDefault="001F074F" w:rsidP="001F074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</w:tcPr>
          <w:p w:rsidR="001F074F" w:rsidRPr="00E53AD0" w:rsidRDefault="001F074F" w:rsidP="001F074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1136F" w:rsidRDefault="0021136F" w:rsidP="002A4E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D90501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1F074F" w:rsidRPr="00D25D98" w:rsidRDefault="001F074F" w:rsidP="001F074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Целью изучения дисциплины явл</w:t>
      </w:r>
      <w:r>
        <w:rPr>
          <w:rFonts w:ascii="Times New Roman" w:hAnsi="Times New Roman" w:cs="Times New Roman"/>
          <w:sz w:val="28"/>
          <w:szCs w:val="28"/>
        </w:rPr>
        <w:t xml:space="preserve">яется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5D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5D98">
        <w:rPr>
          <w:rFonts w:ascii="Times New Roman" w:hAnsi="Times New Roman" w:cs="Times New Roman"/>
          <w:sz w:val="28"/>
          <w:szCs w:val="28"/>
        </w:rPr>
        <w:t>казанных</w:t>
      </w:r>
      <w:proofErr w:type="spellEnd"/>
      <w:r w:rsidRPr="00D25D98">
        <w:rPr>
          <w:rFonts w:ascii="Times New Roman" w:hAnsi="Times New Roman" w:cs="Times New Roman"/>
          <w:sz w:val="28"/>
          <w:szCs w:val="28"/>
        </w:rPr>
        <w:t xml:space="preserve"> в разделе 2 рабочей программы.</w:t>
      </w:r>
    </w:p>
    <w:p w:rsidR="001F074F" w:rsidRPr="00D25D98" w:rsidRDefault="001F074F" w:rsidP="001F074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F074F" w:rsidRPr="00D25D98" w:rsidRDefault="001F074F" w:rsidP="001F074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F074F" w:rsidRPr="00D25D98" w:rsidRDefault="001F074F" w:rsidP="001F074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1F074F" w:rsidRDefault="001F074F" w:rsidP="001F074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74F" w:rsidRDefault="001F074F" w:rsidP="001F074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1F074F" w:rsidRDefault="001F074F" w:rsidP="001F074F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F074F" w:rsidRPr="00070F62" w:rsidRDefault="001F074F" w:rsidP="001F074F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70F6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F6D">
        <w:rPr>
          <w:rFonts w:ascii="Times New Roman" w:hAnsi="Times New Roman" w:cs="Times New Roman"/>
          <w:sz w:val="28"/>
          <w:szCs w:val="28"/>
        </w:rPr>
        <w:t>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6F6D">
        <w:rPr>
          <w:rFonts w:ascii="Times New Roman" w:hAnsi="Times New Roman" w:cs="Times New Roman"/>
          <w:sz w:val="28"/>
          <w:szCs w:val="28"/>
        </w:rPr>
        <w:t>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F074F" w:rsidRPr="00D66A05" w:rsidRDefault="001F074F" w:rsidP="001F0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6F6D">
        <w:rPr>
          <w:rFonts w:ascii="Times New Roman" w:eastAsia="Times New Roman" w:hAnsi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074F" w:rsidRDefault="001F074F" w:rsidP="001F0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1F074F" w:rsidRDefault="001F074F" w:rsidP="001F0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74F" w:rsidRPr="00D66A05" w:rsidRDefault="001F074F" w:rsidP="001F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074F" w:rsidRPr="00D66A05" w:rsidRDefault="001F074F" w:rsidP="001F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74F" w:rsidRPr="0021136F" w:rsidRDefault="001F074F" w:rsidP="001F0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1F074F" w:rsidRPr="0021136F" w:rsidRDefault="001F074F" w:rsidP="001F0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Pr="00AC0EA8" w:rsidRDefault="001F074F" w:rsidP="001F0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1F074F" w:rsidRPr="00AC0EA8" w:rsidRDefault="001F074F" w:rsidP="001F0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74F" w:rsidRPr="00D66A05" w:rsidRDefault="001F074F" w:rsidP="001F074F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6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1F074F" w:rsidRPr="00AC0EA8" w:rsidRDefault="001F074F" w:rsidP="001F0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1F074F" w:rsidRPr="00AC0EA8" w:rsidRDefault="001F074F" w:rsidP="001F074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1F074F" w:rsidRPr="0021136F" w:rsidTr="0035232D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1F074F" w:rsidRPr="0021136F" w:rsidTr="0035232D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074F" w:rsidRPr="0021136F" w:rsidTr="0035232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074F" w:rsidRPr="0021136F" w:rsidTr="0035232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F074F" w:rsidRPr="0021136F" w:rsidTr="0035232D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35232D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F074F" w:rsidRDefault="001F074F" w:rsidP="001F07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Default="001F074F" w:rsidP="001F07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p w:rsidR="001F074F" w:rsidRPr="00AC0EA8" w:rsidRDefault="001F074F" w:rsidP="001F07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1F074F" w:rsidRPr="0021136F" w:rsidTr="0035232D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1F074F" w:rsidRPr="0021136F" w:rsidTr="0035232D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074F" w:rsidRPr="0021136F" w:rsidTr="0035232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F074F" w:rsidRPr="0021136F" w:rsidTr="0035232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074F" w:rsidRPr="0021136F" w:rsidTr="0035232D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C5">
              <w:rPr>
                <w:rFonts w:ascii="Times New Roman" w:eastAsia="Times New Roman" w:hAnsi="Times New Roman" w:cs="Times New Roman"/>
                <w:sz w:val="28"/>
                <w:szCs w:val="28"/>
              </w:rPr>
              <w:t>КЛР,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КЛР, Экзамен</w:t>
            </w:r>
          </w:p>
        </w:tc>
      </w:tr>
      <w:tr w:rsidR="001F074F" w:rsidRPr="0021136F" w:rsidTr="0035232D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74F" w:rsidRPr="0021136F" w:rsidTr="0035232D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074F" w:rsidRPr="0021136F" w:rsidRDefault="001F074F" w:rsidP="0035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74F" w:rsidRPr="0021136F" w:rsidRDefault="001F074F" w:rsidP="0035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F074F" w:rsidRPr="00AC0EA8" w:rsidRDefault="001F074F" w:rsidP="001F0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F074F" w:rsidRPr="00AC0EA8" w:rsidRDefault="001F074F" w:rsidP="001F07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15"/>
        <w:gridCol w:w="3021"/>
        <w:gridCol w:w="5635"/>
      </w:tblGrid>
      <w:tr w:rsidR="001F074F" w:rsidRPr="008746E7" w:rsidTr="0035232D">
        <w:trPr>
          <w:tblHeader/>
        </w:trPr>
        <w:tc>
          <w:tcPr>
            <w:tcW w:w="478" w:type="pct"/>
          </w:tcPr>
          <w:p w:rsidR="001F074F" w:rsidRPr="00475F6B" w:rsidRDefault="001F074F" w:rsidP="0035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1F074F" w:rsidRPr="00475F6B" w:rsidRDefault="001F074F" w:rsidP="0035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1F074F" w:rsidRPr="00475F6B" w:rsidRDefault="001F074F" w:rsidP="0035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1F074F" w:rsidRPr="00475F6B" w:rsidRDefault="001F074F" w:rsidP="0035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1F074F" w:rsidRPr="00475F6B" w:rsidRDefault="001F074F" w:rsidP="003523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Р-Т, </w:t>
            </w:r>
            <w:proofErr w:type="gramStart"/>
            <w:r w:rsidRPr="00526F6D">
              <w:rPr>
                <w:sz w:val="28"/>
                <w:szCs w:val="28"/>
              </w:rPr>
              <w:t>Р-</w:t>
            </w:r>
            <w:proofErr w:type="gramEnd"/>
            <w:r w:rsidRPr="00526F6D">
              <w:rPr>
                <w:sz w:val="28"/>
                <w:szCs w:val="28"/>
              </w:rPr>
              <w:t xml:space="preserve">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</w:t>
            </w:r>
            <w:r w:rsidRPr="00526F6D">
              <w:rPr>
                <w:sz w:val="28"/>
                <w:szCs w:val="28"/>
              </w:rPr>
              <w:lastRenderedPageBreak/>
              <w:t>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оребренную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1F074F" w:rsidRPr="000778F3" w:rsidTr="0035232D">
        <w:tc>
          <w:tcPr>
            <w:tcW w:w="4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1F074F" w:rsidRPr="00526F6D" w:rsidRDefault="001F074F" w:rsidP="0035232D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1F074F" w:rsidRPr="00526F6D" w:rsidRDefault="001F074F" w:rsidP="0035232D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</w:t>
            </w:r>
            <w:r w:rsidRPr="00526F6D">
              <w:rPr>
                <w:sz w:val="28"/>
                <w:szCs w:val="28"/>
              </w:rPr>
              <w:lastRenderedPageBreak/>
              <w:t>установки. Паровые и водогрейные котлы. Котлы-утилизаторы.</w:t>
            </w:r>
          </w:p>
        </w:tc>
      </w:tr>
    </w:tbl>
    <w:p w:rsidR="001F074F" w:rsidRPr="00AC0EA8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1F074F" w:rsidRPr="00AC0EA8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1F074F" w:rsidRPr="00AC0EA8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1F074F" w:rsidRPr="0054607F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1F074F" w:rsidRPr="005B6313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1F074F" w:rsidRPr="00CE3D82" w:rsidTr="0035232D">
        <w:trPr>
          <w:trHeight w:val="563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семестр</w:t>
            </w:r>
          </w:p>
        </w:tc>
      </w:tr>
      <w:tr w:rsidR="001F074F" w:rsidRPr="00CE3D82" w:rsidTr="0035232D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074F" w:rsidRPr="00CE3D82" w:rsidTr="0035232D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074F" w:rsidRPr="00CE3D82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3F5C5E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F074F" w:rsidRPr="00CE3D82" w:rsidTr="0035232D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21136F" w:rsidRDefault="001F074F" w:rsidP="0035232D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4F" w:rsidRPr="00526F6D" w:rsidRDefault="001F074F" w:rsidP="003523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Pr="00AC0EA8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1F074F" w:rsidRPr="00025744" w:rsidTr="003523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1F074F" w:rsidRPr="005B6313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1F074F" w:rsidRPr="00025744" w:rsidTr="0035232D">
        <w:trPr>
          <w:trHeight w:val="83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B6313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курс</w:t>
            </w:r>
          </w:p>
        </w:tc>
      </w:tr>
      <w:tr w:rsidR="001F074F" w:rsidRPr="00025744" w:rsidTr="0035232D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074F" w:rsidRPr="00025744" w:rsidTr="0035232D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074F" w:rsidRPr="00025744" w:rsidTr="0035232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074F" w:rsidRPr="00025744" w:rsidTr="0035232D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074F" w:rsidRPr="00025744" w:rsidTr="0035232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074F" w:rsidRPr="00025744" w:rsidTr="0035232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074F" w:rsidRPr="00025744" w:rsidTr="0035232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F074F" w:rsidRPr="00025744" w:rsidTr="0035232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074F" w:rsidRPr="00025744" w:rsidTr="0035232D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F074F" w:rsidRPr="00025744" w:rsidTr="0035232D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21136F" w:rsidRDefault="001F074F" w:rsidP="003523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Pr="00AC0EA8" w:rsidRDefault="001F074F" w:rsidP="001F0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074F" w:rsidRPr="00AC0EA8" w:rsidRDefault="001F074F" w:rsidP="001F074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E088A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F074F" w:rsidRPr="005E088A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AC0EA8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F074F" w:rsidRPr="00AC0EA8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1F074F" w:rsidRPr="00526F6D" w:rsidRDefault="001F074F" w:rsidP="0035232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1F074F" w:rsidRPr="00475F6B" w:rsidRDefault="001F074F" w:rsidP="0035232D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Никольская О.К., Никольский Д.В., Кудрин М.Ю., Краснов А.С. Техническая термодинамика. Методические указания к выполнению лабораторных работ /  СПб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ПГУПС. 2011.- 42 с.</w:t>
            </w: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1F074F" w:rsidRPr="00464F8D" w:rsidRDefault="001F074F" w:rsidP="00352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F074F" w:rsidRPr="00AC0EA8" w:rsidTr="0035232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F074F" w:rsidRPr="00526F6D" w:rsidRDefault="001F074F" w:rsidP="003523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F074F" w:rsidRPr="00464F8D" w:rsidRDefault="001F074F" w:rsidP="00352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1F074F" w:rsidRPr="00AC0EA8" w:rsidRDefault="001F074F" w:rsidP="001F07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074F" w:rsidRPr="00AC0EA8" w:rsidRDefault="001F074F" w:rsidP="001F0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074F" w:rsidRDefault="001F074F" w:rsidP="001F074F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F074F" w:rsidRPr="00010D60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 xml:space="preserve">»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074F" w:rsidRPr="00445FD9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074F" w:rsidRPr="005B6313" w:rsidRDefault="001F074F" w:rsidP="001F07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1F074F" w:rsidRPr="005B6313" w:rsidRDefault="001F074F" w:rsidP="001F07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1F074F" w:rsidRDefault="001F074F" w:rsidP="001F07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1F074F" w:rsidRPr="00972559" w:rsidRDefault="001F074F" w:rsidP="001F07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1F074F" w:rsidRPr="006C6F29" w:rsidTr="0035232D">
        <w:trPr>
          <w:trHeight w:val="20"/>
        </w:trPr>
        <w:tc>
          <w:tcPr>
            <w:tcW w:w="10364" w:type="dxa"/>
          </w:tcPr>
          <w:p w:rsidR="001F074F" w:rsidRPr="00526F6D" w:rsidRDefault="001F074F" w:rsidP="0035232D">
            <w:pPr>
              <w:tabs>
                <w:tab w:val="left" w:pos="990"/>
              </w:tabs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1F074F" w:rsidRPr="006C6F29" w:rsidTr="0035232D">
        <w:trPr>
          <w:trHeight w:val="20"/>
        </w:trPr>
        <w:tc>
          <w:tcPr>
            <w:tcW w:w="10364" w:type="dxa"/>
          </w:tcPr>
          <w:p w:rsidR="001F074F" w:rsidRPr="00526F6D" w:rsidRDefault="001F074F" w:rsidP="0035232D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2.В.И. Крылов «Теплотехника» Конспект лекций. СПб.: ПГУПС, 2013г. – 71с.</w:t>
            </w:r>
          </w:p>
        </w:tc>
      </w:tr>
      <w:tr w:rsidR="001F074F" w:rsidRPr="006C6F29" w:rsidTr="0035232D">
        <w:trPr>
          <w:trHeight w:val="20"/>
        </w:trPr>
        <w:tc>
          <w:tcPr>
            <w:tcW w:w="10364" w:type="dxa"/>
          </w:tcPr>
          <w:p w:rsidR="001F074F" w:rsidRPr="00526F6D" w:rsidRDefault="001F074F" w:rsidP="0035232D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1F074F" w:rsidRPr="006C6F29" w:rsidTr="0035232D">
        <w:trPr>
          <w:trHeight w:val="20"/>
        </w:trPr>
        <w:tc>
          <w:tcPr>
            <w:tcW w:w="10364" w:type="dxa"/>
          </w:tcPr>
          <w:p w:rsidR="001F074F" w:rsidRPr="00526F6D" w:rsidRDefault="001F074F" w:rsidP="0035232D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1F074F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74F" w:rsidRPr="00972559" w:rsidRDefault="001F074F" w:rsidP="001F074F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1F074F" w:rsidRPr="00F37A36" w:rsidRDefault="001F074F" w:rsidP="001F074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1F074F" w:rsidRPr="00F37A36" w:rsidTr="0035232D">
        <w:tc>
          <w:tcPr>
            <w:tcW w:w="10188" w:type="dxa"/>
          </w:tcPr>
          <w:p w:rsidR="001F074F" w:rsidRPr="00526F6D" w:rsidRDefault="001F074F" w:rsidP="003523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1F074F" w:rsidRPr="00F37A36" w:rsidTr="0035232D">
        <w:tc>
          <w:tcPr>
            <w:tcW w:w="10188" w:type="dxa"/>
          </w:tcPr>
          <w:p w:rsidR="001F074F" w:rsidRPr="00526F6D" w:rsidRDefault="001F074F" w:rsidP="003523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</w:t>
            </w: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термодинамике», М.1998 г.- 216с</w:t>
            </w:r>
          </w:p>
        </w:tc>
      </w:tr>
      <w:tr w:rsidR="001F074F" w:rsidRPr="00F37A36" w:rsidTr="0035232D">
        <w:tc>
          <w:tcPr>
            <w:tcW w:w="10188" w:type="dxa"/>
          </w:tcPr>
          <w:p w:rsidR="001F074F" w:rsidRPr="00526F6D" w:rsidRDefault="001F074F" w:rsidP="003523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1F074F" w:rsidRPr="00F37A36" w:rsidTr="0035232D">
        <w:tc>
          <w:tcPr>
            <w:tcW w:w="10188" w:type="dxa"/>
          </w:tcPr>
          <w:p w:rsidR="001F074F" w:rsidRPr="00526F6D" w:rsidRDefault="001F074F" w:rsidP="003523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1F074F" w:rsidRPr="00F37A36" w:rsidTr="0035232D">
        <w:tc>
          <w:tcPr>
            <w:tcW w:w="10188" w:type="dxa"/>
          </w:tcPr>
          <w:p w:rsidR="001F074F" w:rsidRPr="00526F6D" w:rsidRDefault="001F074F" w:rsidP="003523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1F074F" w:rsidRPr="00F37A36" w:rsidTr="0035232D">
        <w:tc>
          <w:tcPr>
            <w:tcW w:w="10188" w:type="dxa"/>
          </w:tcPr>
          <w:p w:rsidR="001F074F" w:rsidRPr="00526F6D" w:rsidRDefault="001F074F" w:rsidP="003523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1F074F" w:rsidRPr="00AC0EA8" w:rsidRDefault="001F074F" w:rsidP="001F07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74F" w:rsidRPr="00AC0EA8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F074F" w:rsidRDefault="001F074F" w:rsidP="001F074F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1F074F" w:rsidRPr="0021136F" w:rsidRDefault="001F074F" w:rsidP="001F074F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1F074F" w:rsidRPr="00AC0EA8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1F074F" w:rsidRDefault="001F074F" w:rsidP="001F0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BC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91BC5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Pr="00191BC5">
        <w:rPr>
          <w:rFonts w:ascii="Times New Roman" w:hAnsi="Times New Roman" w:cs="Times New Roman"/>
          <w:bCs/>
          <w:sz w:val="28"/>
          <w:szCs w:val="28"/>
        </w:rPr>
        <w:t>., Никольский Д.В., Кудрин М.Ю., Краснов А.С. Техническая термодинамика. Методические указания к выполнению лабораторных работ /  СПб</w:t>
      </w:r>
      <w:proofErr w:type="gramStart"/>
      <w:r w:rsidRPr="00191BC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191BC5">
        <w:rPr>
          <w:rFonts w:ascii="Times New Roman" w:hAnsi="Times New Roman" w:cs="Times New Roman"/>
          <w:bCs/>
          <w:sz w:val="28"/>
          <w:szCs w:val="28"/>
        </w:rPr>
        <w:t>ПГУПС. 2011.- 42 с.</w:t>
      </w:r>
    </w:p>
    <w:p w:rsidR="001F074F" w:rsidRDefault="001F074F" w:rsidP="001F0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074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F074F" w:rsidRPr="005B6313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1.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F074F" w:rsidRPr="005B6313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2.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http://www.cntd.ru/, свободный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1F074F" w:rsidRPr="005B6313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3.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F074F" w:rsidRPr="005B6313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4.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F074F" w:rsidRPr="005B6313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5.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ibooks.ru [Электронный ресурс]. Режим доступа: http:// ibooks.ru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F074F" w:rsidRPr="0021136F" w:rsidRDefault="001F074F" w:rsidP="001F0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1F074F" w:rsidRPr="00526F6D" w:rsidRDefault="001F074F" w:rsidP="001F07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1F074F" w:rsidRPr="00526F6D" w:rsidRDefault="001F074F" w:rsidP="001F074F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</w:t>
      </w: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074F" w:rsidRPr="00526F6D" w:rsidRDefault="001F074F" w:rsidP="001F074F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F074F" w:rsidRPr="00526F6D" w:rsidRDefault="001F074F" w:rsidP="001F074F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1F074F" w:rsidRPr="0021136F" w:rsidRDefault="001F074F" w:rsidP="001F0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F074F" w:rsidRPr="0021136F" w:rsidRDefault="001F074F" w:rsidP="001F0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074F" w:rsidRPr="005B6313" w:rsidRDefault="001F074F" w:rsidP="001F074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F074F" w:rsidRPr="005B6313" w:rsidRDefault="001F074F" w:rsidP="001F074F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1F074F" w:rsidRPr="005B6313" w:rsidRDefault="001F074F" w:rsidP="001F074F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F074F" w:rsidRPr="005B6313" w:rsidRDefault="001F074F" w:rsidP="001F074F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5B63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1F074F" w:rsidRDefault="001F074F" w:rsidP="001F07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F074F" w:rsidRPr="005B6313" w:rsidRDefault="001F074F" w:rsidP="001F07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074F" w:rsidRPr="0021136F" w:rsidRDefault="001F074F" w:rsidP="001F074F">
      <w:pPr>
        <w:pStyle w:val="2"/>
        <w:rPr>
          <w:sz w:val="28"/>
          <w:szCs w:val="28"/>
        </w:rPr>
      </w:pPr>
      <w:r w:rsidRPr="0021136F">
        <w:rPr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074F" w:rsidRPr="00526F6D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специальности</w:t>
      </w:r>
      <w:r w:rsidRPr="00526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52B">
        <w:rPr>
          <w:rFonts w:ascii="Times New Roman" w:hAnsi="Times New Roman" w:cs="Times New Roman"/>
          <w:bCs/>
          <w:sz w:val="28"/>
          <w:szCs w:val="28"/>
        </w:rPr>
        <w:t>23.05.03 «Подвижной состав железных дорог»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F6D">
        <w:rPr>
          <w:rFonts w:ascii="Times New Roman" w:hAnsi="Times New Roman" w:cs="Times New Roman"/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1F074F" w:rsidRPr="00526F6D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1F074F" w:rsidRPr="003A352B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 xml:space="preserve">- учебные аудитории для проведения занятий лекционного типа, занятий семинарского типа, выполнения курсовых проектов. Используются </w:t>
      </w:r>
      <w:r w:rsidRPr="003A352B">
        <w:rPr>
          <w:rFonts w:ascii="Times New Roman" w:hAnsi="Times New Roman" w:cs="Times New Roman"/>
          <w:bCs/>
          <w:sz w:val="28"/>
          <w:szCs w:val="28"/>
        </w:rPr>
        <w:lastRenderedPageBreak/>
        <w:t>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1F074F" w:rsidRPr="003A352B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>- для проведения лабораторных работ используется компьютерный класс (ауд. 6-110) и аудитория 6-202;</w:t>
      </w:r>
    </w:p>
    <w:p w:rsidR="001F074F" w:rsidRPr="003A352B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 xml:space="preserve"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 </w:t>
      </w:r>
    </w:p>
    <w:p w:rsidR="001F074F" w:rsidRPr="0021136F" w:rsidRDefault="001F074F" w:rsidP="001F074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3827"/>
        <w:gridCol w:w="2410"/>
      </w:tblGrid>
      <w:tr w:rsidR="001F074F" w:rsidRPr="0021136F" w:rsidTr="0035232D">
        <w:tc>
          <w:tcPr>
            <w:tcW w:w="3227" w:type="dxa"/>
          </w:tcPr>
          <w:p w:rsidR="001F074F" w:rsidRDefault="001F074F" w:rsidP="003523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74F" w:rsidRDefault="001F074F" w:rsidP="003523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827" w:type="dxa"/>
            <w:vAlign w:val="bottom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знеченков</w:t>
            </w:r>
            <w:proofErr w:type="spellEnd"/>
          </w:p>
        </w:tc>
      </w:tr>
      <w:tr w:rsidR="001F074F" w:rsidRPr="0021136F" w:rsidTr="0035232D">
        <w:trPr>
          <w:trHeight w:val="491"/>
        </w:trPr>
        <w:tc>
          <w:tcPr>
            <w:tcW w:w="3227" w:type="dxa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</w:t>
            </w: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96">
              <w:rPr>
                <w:rFonts w:eastAsia="Calibr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263B2C05" wp14:editId="47148FA0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-473075</wp:posOffset>
                  </wp:positionV>
                  <wp:extent cx="1857375" cy="933450"/>
                  <wp:effectExtent l="0" t="0" r="9525" b="0"/>
                  <wp:wrapNone/>
                  <wp:docPr id="2" name="Рисунок 2" descr="C:\Users\user\Desktop\ЗЯБА\img2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Desktop\ЗЯБА\img222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7" t="44483" r="26201" b="44646"/>
                          <a:stretch/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1F074F" w:rsidRPr="0021136F" w:rsidRDefault="001F074F" w:rsidP="0035232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74F" w:rsidRDefault="001F074F" w:rsidP="001F074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74F" w:rsidRDefault="001F074F" w:rsidP="001F074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074F" w:rsidRDefault="001F074F" w:rsidP="001F074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8837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360D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</w:num>
  <w:num w:numId="4">
    <w:abstractNumId w:val="33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4"/>
  </w:num>
  <w:num w:numId="12">
    <w:abstractNumId w:val="2"/>
  </w:num>
  <w:num w:numId="13">
    <w:abstractNumId w:val="42"/>
  </w:num>
  <w:num w:numId="14">
    <w:abstractNumId w:val="18"/>
  </w:num>
  <w:num w:numId="15">
    <w:abstractNumId w:val="23"/>
  </w:num>
  <w:num w:numId="16">
    <w:abstractNumId w:val="0"/>
  </w:num>
  <w:num w:numId="17">
    <w:abstractNumId w:val="34"/>
  </w:num>
  <w:num w:numId="18">
    <w:abstractNumId w:val="8"/>
  </w:num>
  <w:num w:numId="19">
    <w:abstractNumId w:val="31"/>
  </w:num>
  <w:num w:numId="20">
    <w:abstractNumId w:val="36"/>
  </w:num>
  <w:num w:numId="21">
    <w:abstractNumId w:val="10"/>
  </w:num>
  <w:num w:numId="22">
    <w:abstractNumId w:val="40"/>
  </w:num>
  <w:num w:numId="23">
    <w:abstractNumId w:val="16"/>
  </w:num>
  <w:num w:numId="24">
    <w:abstractNumId w:val="1"/>
  </w:num>
  <w:num w:numId="25">
    <w:abstractNumId w:val="12"/>
  </w:num>
  <w:num w:numId="26">
    <w:abstractNumId w:val="43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9"/>
  </w:num>
  <w:num w:numId="33">
    <w:abstractNumId w:val="4"/>
  </w:num>
  <w:num w:numId="34">
    <w:abstractNumId w:val="17"/>
  </w:num>
  <w:num w:numId="35">
    <w:abstractNumId w:val="38"/>
  </w:num>
  <w:num w:numId="36">
    <w:abstractNumId w:val="26"/>
  </w:num>
  <w:num w:numId="37">
    <w:abstractNumId w:val="3"/>
  </w:num>
  <w:num w:numId="38">
    <w:abstractNumId w:val="41"/>
  </w:num>
  <w:num w:numId="39">
    <w:abstractNumId w:val="28"/>
  </w:num>
  <w:num w:numId="40">
    <w:abstractNumId w:val="25"/>
  </w:num>
  <w:num w:numId="41">
    <w:abstractNumId w:val="15"/>
  </w:num>
  <w:num w:numId="42">
    <w:abstractNumId w:val="6"/>
  </w:num>
  <w:num w:numId="43">
    <w:abstractNumId w:val="30"/>
  </w:num>
  <w:num w:numId="44">
    <w:abstractNumId w:val="35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140C0"/>
    <w:rsid w:val="00115A41"/>
    <w:rsid w:val="00157257"/>
    <w:rsid w:val="00166DAB"/>
    <w:rsid w:val="001C3377"/>
    <w:rsid w:val="001E4A2C"/>
    <w:rsid w:val="001F074F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4E17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2689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71FD8"/>
    <w:rsid w:val="0057553E"/>
    <w:rsid w:val="005839B6"/>
    <w:rsid w:val="005C0FEA"/>
    <w:rsid w:val="005D01D7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9E72D2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787D"/>
    <w:rsid w:val="00BC3B4E"/>
    <w:rsid w:val="00BD4448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96A64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0501"/>
    <w:rsid w:val="00D96A58"/>
    <w:rsid w:val="00D97104"/>
    <w:rsid w:val="00DA0610"/>
    <w:rsid w:val="00DB3C07"/>
    <w:rsid w:val="00DC2326"/>
    <w:rsid w:val="00DD5363"/>
    <w:rsid w:val="00E0500F"/>
    <w:rsid w:val="00E101BC"/>
    <w:rsid w:val="00E15241"/>
    <w:rsid w:val="00E356E4"/>
    <w:rsid w:val="00E37A64"/>
    <w:rsid w:val="00E42C03"/>
    <w:rsid w:val="00E4409B"/>
    <w:rsid w:val="00E44886"/>
    <w:rsid w:val="00E53AD0"/>
    <w:rsid w:val="00E63189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676"/>
    <w:rsid w:val="00F0792E"/>
    <w:rsid w:val="00F43E61"/>
    <w:rsid w:val="00F65408"/>
    <w:rsid w:val="00F716BE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EE95-DF68-4B4C-B3EA-7B4DC2C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Krasnov</cp:lastModifiedBy>
  <cp:revision>4</cp:revision>
  <cp:lastPrinted>2017-02-17T09:02:00Z</cp:lastPrinted>
  <dcterms:created xsi:type="dcterms:W3CDTF">2018-07-06T08:52:00Z</dcterms:created>
  <dcterms:modified xsi:type="dcterms:W3CDTF">2019-05-14T13:50:00Z</dcterms:modified>
</cp:coreProperties>
</file>