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C915D4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C915D4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д</w:t>
      </w:r>
      <w:r w:rsidR="00D06585" w:rsidRPr="00C915D4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C915D4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«</w:t>
      </w:r>
      <w:r w:rsidR="001B2509">
        <w:rPr>
          <w:rFonts w:ascii="Times New Roman" w:hAnsi="Times New Roman" w:cs="Times New Roman"/>
          <w:sz w:val="24"/>
          <w:szCs w:val="24"/>
        </w:rPr>
        <w:t>Теория безопасности движения поездов</w:t>
      </w:r>
      <w:r w:rsidRPr="00C915D4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915D4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C915D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C915D4">
        <w:rPr>
          <w:rFonts w:ascii="Times New Roman" w:hAnsi="Times New Roman" w:cs="Times New Roman"/>
          <w:sz w:val="24"/>
          <w:szCs w:val="24"/>
        </w:rPr>
        <w:t xml:space="preserve"> – </w:t>
      </w:r>
      <w:r w:rsidRPr="00C915D4">
        <w:rPr>
          <w:rFonts w:ascii="Times New Roman" w:hAnsi="Times New Roman" w:cs="Times New Roman"/>
          <w:sz w:val="24"/>
          <w:szCs w:val="24"/>
        </w:rPr>
        <w:t>23.05.0</w:t>
      </w:r>
      <w:r w:rsidR="001B2509">
        <w:rPr>
          <w:rFonts w:ascii="Times New Roman" w:hAnsi="Times New Roman" w:cs="Times New Roman"/>
          <w:sz w:val="24"/>
          <w:szCs w:val="24"/>
        </w:rPr>
        <w:t>5</w:t>
      </w:r>
      <w:r w:rsidR="00D06585" w:rsidRPr="00C915D4">
        <w:rPr>
          <w:rFonts w:ascii="Times New Roman" w:hAnsi="Times New Roman" w:cs="Times New Roman"/>
          <w:sz w:val="24"/>
          <w:szCs w:val="24"/>
        </w:rPr>
        <w:t xml:space="preserve"> «</w:t>
      </w:r>
      <w:r w:rsidR="001B2509">
        <w:rPr>
          <w:rFonts w:ascii="Times New Roman" w:hAnsi="Times New Roman" w:cs="Times New Roman"/>
          <w:sz w:val="24"/>
          <w:szCs w:val="24"/>
        </w:rPr>
        <w:t>Системы</w:t>
      </w:r>
      <w:r w:rsidR="009908C8">
        <w:rPr>
          <w:rFonts w:ascii="Times New Roman" w:hAnsi="Times New Roman" w:cs="Times New Roman"/>
          <w:sz w:val="24"/>
          <w:szCs w:val="24"/>
        </w:rPr>
        <w:t xml:space="preserve"> обеспечения движения поездов</w:t>
      </w:r>
      <w:r w:rsidR="00D06585" w:rsidRPr="00C915D4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915D4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C915D4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C915D4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C915D4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C915D4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C915D4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C915D4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C915D4">
        <w:rPr>
          <w:rFonts w:ascii="Times New Roman" w:hAnsi="Times New Roman" w:cs="Times New Roman"/>
          <w:sz w:val="24"/>
          <w:szCs w:val="24"/>
        </w:rPr>
        <w:t>«</w:t>
      </w:r>
      <w:r w:rsidR="009908C8">
        <w:rPr>
          <w:rFonts w:ascii="Times New Roman" w:hAnsi="Times New Roman" w:cs="Times New Roman"/>
          <w:sz w:val="24"/>
          <w:szCs w:val="24"/>
        </w:rPr>
        <w:t>Электроснабжение</w:t>
      </w:r>
      <w:r w:rsidR="00C96600" w:rsidRPr="00C915D4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986C3D" w:rsidRPr="00C915D4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915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C915D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Дисциплина «</w:t>
      </w:r>
      <w:r w:rsidR="009908C8">
        <w:rPr>
          <w:rFonts w:ascii="Times New Roman" w:hAnsi="Times New Roman" w:cs="Times New Roman"/>
          <w:sz w:val="24"/>
          <w:szCs w:val="24"/>
        </w:rPr>
        <w:t>Теория безопасности движения поездов</w:t>
      </w:r>
      <w:r w:rsidR="00C96600" w:rsidRPr="00C915D4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C96600" w:rsidRPr="00C915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96600" w:rsidRPr="00C915D4">
        <w:rPr>
          <w:rFonts w:ascii="Times New Roman" w:hAnsi="Times New Roman" w:cs="Times New Roman"/>
          <w:sz w:val="24"/>
          <w:szCs w:val="24"/>
        </w:rPr>
        <w:t>.Б</w:t>
      </w:r>
      <w:r w:rsidR="001C1938" w:rsidRPr="00C915D4">
        <w:rPr>
          <w:rFonts w:ascii="Times New Roman" w:hAnsi="Times New Roman" w:cs="Times New Roman"/>
          <w:sz w:val="24"/>
          <w:szCs w:val="24"/>
        </w:rPr>
        <w:t>.</w:t>
      </w:r>
      <w:r w:rsidR="009908C8">
        <w:rPr>
          <w:rFonts w:ascii="Times New Roman" w:hAnsi="Times New Roman" w:cs="Times New Roman"/>
          <w:sz w:val="24"/>
          <w:szCs w:val="24"/>
        </w:rPr>
        <w:t>34</w:t>
      </w:r>
      <w:r w:rsidRPr="00C915D4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B7C05" w:rsidRPr="00C915D4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5338A2">
        <w:rPr>
          <w:rFonts w:ascii="Times New Roman" w:hAnsi="Times New Roman" w:cs="Times New Roman"/>
          <w:sz w:val="24"/>
          <w:szCs w:val="24"/>
        </w:rPr>
        <w:t>части и является обязательной</w:t>
      </w:r>
      <w:r w:rsidR="00986C3D" w:rsidRPr="00C915D4">
        <w:rPr>
          <w:rFonts w:ascii="Times New Roman" w:hAnsi="Times New Roman" w:cs="Times New Roman"/>
          <w:sz w:val="24"/>
          <w:szCs w:val="24"/>
        </w:rPr>
        <w:t>.</w:t>
      </w:r>
    </w:p>
    <w:p w:rsidR="00876382" w:rsidRDefault="007E3C95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876382" w:rsidRDefault="00C96600" w:rsidP="0087638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Целью освоения дисциплины "</w:t>
      </w:r>
      <w:r w:rsidR="009908C8">
        <w:rPr>
          <w:rFonts w:ascii="Times New Roman" w:hAnsi="Times New Roman" w:cs="Times New Roman"/>
          <w:sz w:val="24"/>
          <w:szCs w:val="24"/>
        </w:rPr>
        <w:t>Теория безопасности движения поездов</w:t>
      </w:r>
      <w:r w:rsidRPr="00C915D4">
        <w:rPr>
          <w:rFonts w:ascii="Times New Roman" w:hAnsi="Times New Roman" w:cs="Times New Roman"/>
          <w:sz w:val="24"/>
          <w:szCs w:val="24"/>
        </w:rPr>
        <w:t xml:space="preserve">" является </w:t>
      </w:r>
      <w:r w:rsidR="009908C8" w:rsidRPr="009908C8">
        <w:rPr>
          <w:rFonts w:ascii="Times New Roman" w:hAnsi="Times New Roman" w:cs="Times New Roman"/>
          <w:sz w:val="24"/>
          <w:szCs w:val="24"/>
        </w:rPr>
        <w:t>приобретение знаний в вопросах, связанных с безопасностью движения в поездной работе, классификации подвижного состава, механика движения поезда, влияние внешних факторов на движение поезда, механическая часть ЭПС и тормозные системы, использ</w:t>
      </w:r>
      <w:r w:rsidR="009908C8">
        <w:rPr>
          <w:rFonts w:ascii="Times New Roman" w:hAnsi="Times New Roman" w:cs="Times New Roman"/>
          <w:sz w:val="24"/>
          <w:szCs w:val="24"/>
        </w:rPr>
        <w:t>уемые на по</w:t>
      </w:r>
      <w:r w:rsidR="009908C8" w:rsidRPr="009908C8">
        <w:rPr>
          <w:rFonts w:ascii="Times New Roman" w:hAnsi="Times New Roman" w:cs="Times New Roman"/>
          <w:sz w:val="24"/>
          <w:szCs w:val="24"/>
        </w:rPr>
        <w:t xml:space="preserve">движном составе. </w:t>
      </w:r>
      <w:r w:rsidR="001C1938" w:rsidRPr="00C915D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C915D4" w:rsidRDefault="00876382" w:rsidP="008763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C1938" w:rsidRPr="00C915D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9908C8">
        <w:rPr>
          <w:rFonts w:ascii="Times New Roman" w:hAnsi="Times New Roman" w:cs="Times New Roman"/>
          <w:sz w:val="24"/>
          <w:szCs w:val="24"/>
        </w:rPr>
        <w:t>основных показателей по обеспечению безопасности движения в поездной работе</w:t>
      </w:r>
      <w:r w:rsidR="001C1938" w:rsidRPr="00C915D4">
        <w:rPr>
          <w:rFonts w:ascii="Times New Roman" w:hAnsi="Times New Roman" w:cs="Times New Roman"/>
          <w:sz w:val="24"/>
          <w:szCs w:val="24"/>
        </w:rPr>
        <w:t>;</w:t>
      </w:r>
    </w:p>
    <w:p w:rsidR="001C1938" w:rsidRPr="00C915D4" w:rsidRDefault="00876382" w:rsidP="008763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C1938" w:rsidRPr="00C915D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9908C8">
        <w:rPr>
          <w:rFonts w:ascii="Times New Roman" w:hAnsi="Times New Roman" w:cs="Times New Roman"/>
          <w:sz w:val="24"/>
          <w:szCs w:val="24"/>
        </w:rPr>
        <w:t>взаимосвязи между надежностью и безопасностью движения в поездной работе</w:t>
      </w:r>
      <w:r w:rsidR="001C1938" w:rsidRPr="00C915D4">
        <w:rPr>
          <w:rFonts w:ascii="Times New Roman" w:hAnsi="Times New Roman" w:cs="Times New Roman"/>
          <w:sz w:val="24"/>
          <w:szCs w:val="24"/>
        </w:rPr>
        <w:t>;</w:t>
      </w:r>
    </w:p>
    <w:p w:rsidR="00C96600" w:rsidRDefault="00876382" w:rsidP="008763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C1938" w:rsidRPr="00C915D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9908C8">
        <w:rPr>
          <w:rFonts w:ascii="Times New Roman" w:hAnsi="Times New Roman" w:cs="Times New Roman"/>
          <w:sz w:val="24"/>
          <w:szCs w:val="24"/>
        </w:rPr>
        <w:t>движения поезда как результата действия на него совокупности внешних сил</w:t>
      </w:r>
      <w:r w:rsidR="00C96600" w:rsidRPr="00C915D4">
        <w:rPr>
          <w:rFonts w:ascii="Times New Roman" w:hAnsi="Times New Roman" w:cs="Times New Roman"/>
          <w:sz w:val="24"/>
          <w:szCs w:val="24"/>
        </w:rPr>
        <w:t>;</w:t>
      </w:r>
    </w:p>
    <w:p w:rsidR="009908C8" w:rsidRDefault="00876382" w:rsidP="008763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908C8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="009908C8">
        <w:rPr>
          <w:rFonts w:ascii="Times New Roman" w:hAnsi="Times New Roman" w:cs="Times New Roman"/>
          <w:sz w:val="24"/>
          <w:szCs w:val="24"/>
        </w:rPr>
        <w:t>методов решения уравнения движения поезда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построения кривых его движения;</w:t>
      </w:r>
    </w:p>
    <w:p w:rsidR="00876382" w:rsidRDefault="00876382" w:rsidP="008763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методов расчета расхода электроэнергии на тягу поездов;</w:t>
      </w:r>
    </w:p>
    <w:p w:rsidR="00876382" w:rsidRDefault="00876382" w:rsidP="008763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принципов регулирования частоты вращения коллекторных тяговых двигателей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режимах тяги и торможения;</w:t>
      </w:r>
    </w:p>
    <w:p w:rsidR="00876382" w:rsidRPr="00C915D4" w:rsidRDefault="00876382" w:rsidP="008763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основ механического оборудования электровозов;</w:t>
      </w:r>
    </w:p>
    <w:p w:rsidR="00876382" w:rsidRDefault="00876382" w:rsidP="008763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основ системы электроснабжения железнодорожного транспорта;</w:t>
      </w:r>
    </w:p>
    <w:p w:rsidR="00034F0A" w:rsidRPr="00C915D4" w:rsidRDefault="00876382" w:rsidP="008763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основ системы локомотивной сигнализации</w:t>
      </w:r>
      <w:r w:rsidR="001C1938" w:rsidRPr="00C915D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15D4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C915D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C915D4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C915D4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 w:rsidRPr="00C915D4">
        <w:rPr>
          <w:rFonts w:ascii="Times New Roman" w:hAnsi="Times New Roman" w:cs="Times New Roman"/>
          <w:sz w:val="24"/>
          <w:szCs w:val="24"/>
        </w:rPr>
        <w:t xml:space="preserve"> </w:t>
      </w:r>
      <w:r w:rsidR="00876382">
        <w:rPr>
          <w:rFonts w:ascii="Times New Roman" w:hAnsi="Times New Roman" w:cs="Times New Roman"/>
          <w:sz w:val="24"/>
          <w:szCs w:val="24"/>
        </w:rPr>
        <w:t>ОПК-12, ПК-3, ПК-4</w:t>
      </w:r>
      <w:r w:rsidR="00925AF8" w:rsidRPr="00C915D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C915D4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C915D4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670646" w:rsidRPr="00C915D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670646" w:rsidRPr="00C915D4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C0923" w:rsidRPr="00C915D4" w:rsidRDefault="002C0923" w:rsidP="002C0923">
      <w:pPr>
        <w:pStyle w:val="a6"/>
        <w:ind w:firstLine="349"/>
        <w:rPr>
          <w:b/>
          <w:bCs/>
          <w:caps/>
        </w:rPr>
      </w:pPr>
      <w:r w:rsidRPr="00C915D4">
        <w:rPr>
          <w:b/>
          <w:bCs/>
          <w:caps/>
        </w:rPr>
        <w:t>Знать:</w:t>
      </w:r>
    </w:p>
    <w:p w:rsidR="00876382" w:rsidRDefault="00876382" w:rsidP="00876382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</w:pPr>
      <w:r>
        <w:t>основные показатели по обеспечению безопасности движения в поездной работе, взаимосвязь между надежностью и безопасностью, типы подвижного состава; конструкции подвижного состава и его узлов; основные технические характеристики подвижного состава и его узлов.</w:t>
      </w:r>
    </w:p>
    <w:p w:rsidR="002C0923" w:rsidRPr="00C915D4" w:rsidRDefault="00876382" w:rsidP="00876382">
      <w:pPr>
        <w:pStyle w:val="a6"/>
        <w:ind w:left="709" w:firstLine="0"/>
        <w:rPr>
          <w:color w:val="000000"/>
        </w:rPr>
      </w:pPr>
      <w:r w:rsidRPr="00C915D4">
        <w:rPr>
          <w:b/>
          <w:bCs/>
          <w:iCs/>
          <w:caps/>
          <w:color w:val="000000"/>
        </w:rPr>
        <w:t xml:space="preserve"> </w:t>
      </w:r>
      <w:r w:rsidR="002C0923" w:rsidRPr="00C915D4">
        <w:rPr>
          <w:b/>
          <w:bCs/>
          <w:iCs/>
          <w:caps/>
          <w:color w:val="000000"/>
        </w:rPr>
        <w:t>уметь</w:t>
      </w:r>
      <w:r w:rsidR="002C0923" w:rsidRPr="00C915D4">
        <w:rPr>
          <w:color w:val="000000"/>
        </w:rPr>
        <w:t>:</w:t>
      </w:r>
    </w:p>
    <w:p w:rsidR="00876382" w:rsidRDefault="00876382" w:rsidP="00876382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>
        <w:t>различать типы подвижного состава и его узлы, проводить анализ характеристик подвижного состава, их технико-экономических параметров, определять требования к конструкции подвижного состава, оценивать технико-экономические параметры и удельные показатели подвижного состава, рассчитывать тормозные пути поездов.</w:t>
      </w:r>
    </w:p>
    <w:p w:rsidR="002C0923" w:rsidRPr="00C915D4" w:rsidRDefault="00876382" w:rsidP="00876382">
      <w:pPr>
        <w:pStyle w:val="a6"/>
        <w:ind w:left="709" w:firstLine="0"/>
        <w:rPr>
          <w:color w:val="000000"/>
        </w:rPr>
      </w:pPr>
      <w:r w:rsidRPr="00C915D4">
        <w:rPr>
          <w:b/>
          <w:bCs/>
          <w:iCs/>
          <w:caps/>
          <w:color w:val="000000"/>
        </w:rPr>
        <w:t xml:space="preserve"> </w:t>
      </w:r>
      <w:r w:rsidR="002C0923" w:rsidRPr="00C915D4">
        <w:rPr>
          <w:b/>
          <w:bCs/>
          <w:iCs/>
          <w:caps/>
          <w:color w:val="000000"/>
        </w:rPr>
        <w:t>владеть</w:t>
      </w:r>
      <w:r w:rsidR="002C0923" w:rsidRPr="00C915D4">
        <w:rPr>
          <w:color w:val="000000"/>
        </w:rPr>
        <w:t>:</w:t>
      </w:r>
    </w:p>
    <w:p w:rsidR="00876382" w:rsidRDefault="00876382" w:rsidP="00876382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>
        <w:t>навыками разработки требований к конструкции подвижного состава, оценки технико-экономических параметров и удельных показателей подвижного состава</w:t>
      </w:r>
      <w:r>
        <w:rPr>
          <w:color w:val="000000"/>
        </w:rPr>
        <w:t>, навыками по взаимосвязи между показателями надежности и безопасности движения поездов.</w:t>
      </w:r>
    </w:p>
    <w:p w:rsidR="00D06585" w:rsidRPr="00C915D4" w:rsidRDefault="00876382" w:rsidP="008763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C915D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C915D4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C915D4" w:rsidTr="00A91F32">
        <w:tc>
          <w:tcPr>
            <w:tcW w:w="617" w:type="dxa"/>
            <w:vAlign w:val="center"/>
          </w:tcPr>
          <w:p w:rsidR="001C1938" w:rsidRPr="00C915D4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C915D4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C915D4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C915D4" w:rsidTr="00A91F32">
        <w:trPr>
          <w:cantSplit/>
        </w:trPr>
        <w:tc>
          <w:tcPr>
            <w:tcW w:w="9286" w:type="dxa"/>
            <w:gridSpan w:val="3"/>
          </w:tcPr>
          <w:p w:rsidR="001C1938" w:rsidRPr="00C915D4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1</w:t>
            </w:r>
          </w:p>
        </w:tc>
      </w:tr>
      <w:tr w:rsidR="001C1938" w:rsidRPr="00C915D4" w:rsidTr="00A91F32">
        <w:tc>
          <w:tcPr>
            <w:tcW w:w="617" w:type="dxa"/>
          </w:tcPr>
          <w:p w:rsidR="001C1938" w:rsidRPr="0085067B" w:rsidRDefault="001C1938" w:rsidP="0085067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C915D4" w:rsidRDefault="00876382" w:rsidP="00717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Безопасность движения поездов. Факторы, влияющие на безопасность.</w:t>
            </w:r>
          </w:p>
        </w:tc>
        <w:tc>
          <w:tcPr>
            <w:tcW w:w="5860" w:type="dxa"/>
          </w:tcPr>
          <w:p w:rsidR="00CA296E" w:rsidRPr="00C915D4" w:rsidRDefault="001C1938" w:rsidP="00876382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A334F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</w:t>
            </w:r>
            <w:r w:rsidR="0087638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вязь курса «Теория безопасности движения поездов» с другими дисциплинами; основные понятия, термины и определения </w:t>
            </w:r>
            <w:r w:rsidR="00DC2C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теории безопасности движения поездов; основные показатели по обеспечению безопасности движения в поездной работе; взаимосвязь между надежностью и безопасностью, показатели надежности, взаимосвязь между надежностью и безопасностью, виды отказов, влияние на безопасность движения поездов надежности технических средств, основные понятия и теория</w:t>
            </w:r>
            <w:r w:rsidR="0085067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жизненного цикла технического средства, техническое обслуживание и ремонт ЭПС, назначение и разновидности ремонта</w:t>
            </w:r>
            <w:r w:rsidR="00CA296E"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85067B" w:rsidRPr="00C915D4" w:rsidTr="00F10D7F">
        <w:tc>
          <w:tcPr>
            <w:tcW w:w="9286" w:type="dxa"/>
            <w:gridSpan w:val="3"/>
          </w:tcPr>
          <w:p w:rsidR="0085067B" w:rsidRPr="0085067B" w:rsidRDefault="0085067B" w:rsidP="00850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85067B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2</w:t>
            </w:r>
          </w:p>
        </w:tc>
      </w:tr>
      <w:tr w:rsidR="001C1938" w:rsidRPr="00C915D4" w:rsidTr="00A91F32">
        <w:tc>
          <w:tcPr>
            <w:tcW w:w="617" w:type="dxa"/>
          </w:tcPr>
          <w:p w:rsidR="001C1938" w:rsidRPr="00C915D4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C915D4" w:rsidRDefault="00876382" w:rsidP="007174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Электроподвижной состав. Классификация, устройство.</w:t>
            </w:r>
          </w:p>
        </w:tc>
        <w:tc>
          <w:tcPr>
            <w:tcW w:w="5860" w:type="dxa"/>
          </w:tcPr>
          <w:p w:rsidR="001C1938" w:rsidRPr="00C915D4" w:rsidRDefault="00A334FB" w:rsidP="007174B2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</w:t>
            </w:r>
            <w:r w:rsidR="0085067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лассификация ЭПС и основные элементы ЭПС, механика движения поезда, установившееся и неустановившееся движение, механическая часть подвижного состава, виды кузова локомотивов, тележки подвижного состава, колесные пары подвижного состава, </w:t>
            </w:r>
            <w:proofErr w:type="spellStart"/>
            <w:r w:rsidR="0085067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автосцепные</w:t>
            </w:r>
            <w:proofErr w:type="spellEnd"/>
            <w:r w:rsidR="0085067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устройства подвижного состава</w:t>
            </w:r>
            <w:r w:rsidR="001C1938"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</w:tc>
      </w:tr>
      <w:tr w:rsidR="001C1938" w:rsidRPr="00C915D4" w:rsidTr="00A91F32">
        <w:trPr>
          <w:cantSplit/>
        </w:trPr>
        <w:tc>
          <w:tcPr>
            <w:tcW w:w="9286" w:type="dxa"/>
            <w:gridSpan w:val="3"/>
            <w:vAlign w:val="center"/>
          </w:tcPr>
          <w:p w:rsidR="001C1938" w:rsidRPr="00C915D4" w:rsidRDefault="0085067B" w:rsidP="00717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3</w:t>
            </w:r>
          </w:p>
        </w:tc>
      </w:tr>
      <w:tr w:rsidR="001C1938" w:rsidRPr="00C915D4" w:rsidTr="00A91F32">
        <w:tc>
          <w:tcPr>
            <w:tcW w:w="617" w:type="dxa"/>
          </w:tcPr>
          <w:p w:rsidR="001C1938" w:rsidRPr="00C915D4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C915D4" w:rsidRDefault="00876382" w:rsidP="007174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Основы теории движения поезда.</w:t>
            </w:r>
          </w:p>
        </w:tc>
        <w:tc>
          <w:tcPr>
            <w:tcW w:w="5860" w:type="dxa"/>
          </w:tcPr>
          <w:p w:rsidR="001C1938" w:rsidRPr="00C915D4" w:rsidRDefault="00A334FB" w:rsidP="007174B2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</w:t>
            </w:r>
            <w:r w:rsidR="0085067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рирода и классификация сил сопротивления движению поезда, расчет полного сопротивления движения поезда, сопротивление движению поезда от уклонов и кривых участках пути, сопротивление движению при особых условиях движения поезда, мероприятия по уменьшению сопротивления движению поезда, расчет основного удельного сопротивления движению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поезда, диаграмма удельных равнодействующих сил, влияние профиля пути на скорость установившегося движения поезда.</w:t>
            </w:r>
            <w:proofErr w:type="gramEnd"/>
          </w:p>
        </w:tc>
      </w:tr>
      <w:tr w:rsidR="00A334FB" w:rsidRPr="00A334FB" w:rsidTr="00191D82">
        <w:tc>
          <w:tcPr>
            <w:tcW w:w="9286" w:type="dxa"/>
            <w:gridSpan w:val="3"/>
          </w:tcPr>
          <w:p w:rsidR="00A334FB" w:rsidRPr="00A334FB" w:rsidRDefault="00A334FB" w:rsidP="00A334F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A334FB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4</w:t>
            </w:r>
          </w:p>
        </w:tc>
      </w:tr>
      <w:tr w:rsidR="001C1938" w:rsidRPr="00C915D4" w:rsidTr="00A91F32">
        <w:tc>
          <w:tcPr>
            <w:tcW w:w="617" w:type="dxa"/>
          </w:tcPr>
          <w:p w:rsidR="001C1938" w:rsidRPr="00C915D4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C915D4" w:rsidRDefault="00876382" w:rsidP="007174B2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Образование силы тяги. Способы регулирования скорости и силы тяги.</w:t>
            </w:r>
          </w:p>
        </w:tc>
        <w:tc>
          <w:tcPr>
            <w:tcW w:w="5860" w:type="dxa"/>
          </w:tcPr>
          <w:p w:rsidR="001C1938" w:rsidRPr="00A334FB" w:rsidRDefault="00A334FB" w:rsidP="00A334FB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образование силы тяги и условия ее реализации, сила тяги электровоза и коэффициент сцепления колеса с рельсом, пути повышения силы тяги электровоза по сцеплению, тяговая характеристика электровоза и система ее ограничений, необходимость и способы изменения тяговых характеристик ЭПС, влияние напряжения на тяговую характеристику ЭПС, влияние сопротивления в цепи двигателя на тяговую характеристику ЭПС, влияние ослабления поля двигателя на тяговую характеристику ЭПС</w:t>
            </w:r>
            <w:r w:rsidR="001C1938" w:rsidRPr="00A334F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.</w:t>
            </w:r>
          </w:p>
        </w:tc>
      </w:tr>
      <w:tr w:rsidR="003B2404" w:rsidRPr="00C915D4" w:rsidTr="001340D6">
        <w:tc>
          <w:tcPr>
            <w:tcW w:w="9286" w:type="dxa"/>
            <w:gridSpan w:val="3"/>
          </w:tcPr>
          <w:p w:rsidR="003B2404" w:rsidRPr="00C915D4" w:rsidRDefault="00A334FB" w:rsidP="00717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5</w:t>
            </w:r>
          </w:p>
        </w:tc>
      </w:tr>
      <w:tr w:rsidR="001C1938" w:rsidRPr="00C915D4" w:rsidTr="00A91F32">
        <w:tc>
          <w:tcPr>
            <w:tcW w:w="617" w:type="dxa"/>
          </w:tcPr>
          <w:p w:rsidR="001C1938" w:rsidRPr="00C915D4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C915D4" w:rsidRDefault="00876382" w:rsidP="00717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" w:eastAsia="en-US"/>
              </w:rPr>
              <w:t>Образование тормозной силы. Виды торможения.</w:t>
            </w:r>
          </w:p>
        </w:tc>
        <w:tc>
          <w:tcPr>
            <w:tcW w:w="5860" w:type="dxa"/>
          </w:tcPr>
          <w:p w:rsidR="001C1938" w:rsidRPr="00C915D4" w:rsidRDefault="006F7CE7" w:rsidP="007174B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</w:t>
            </w:r>
            <w:r w:rsidR="00A334FB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бщие сведения о торможении поезда и классификация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тормозов, виды торможения и их зависимость от величины тормозной силы поезда,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lastRenderedPageBreak/>
              <w:t>электрическое рекуперативное и реостатное торможение, механический колесно-колодочный тормоз, коэффициент трения тормозной колодки</w:t>
            </w:r>
            <w:r w:rsidR="001C1938"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.</w:t>
            </w:r>
          </w:p>
        </w:tc>
      </w:tr>
      <w:tr w:rsidR="00A334FB" w:rsidRPr="00A334FB" w:rsidTr="009B01BF">
        <w:tc>
          <w:tcPr>
            <w:tcW w:w="9286" w:type="dxa"/>
            <w:gridSpan w:val="3"/>
          </w:tcPr>
          <w:p w:rsidR="00A334FB" w:rsidRPr="00A334FB" w:rsidRDefault="00A334FB" w:rsidP="00A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A334FB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lastRenderedPageBreak/>
              <w:t>Модуль 6</w:t>
            </w:r>
          </w:p>
        </w:tc>
      </w:tr>
      <w:tr w:rsidR="00876382" w:rsidRPr="00C915D4" w:rsidTr="00A91F32">
        <w:tc>
          <w:tcPr>
            <w:tcW w:w="617" w:type="dxa"/>
          </w:tcPr>
          <w:p w:rsidR="00876382" w:rsidRPr="00C915D4" w:rsidRDefault="00876382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876382" w:rsidRDefault="00876382" w:rsidP="00717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" w:eastAsia="en-US"/>
              </w:rPr>
              <w:t>Принципы расчета массы состава.</w:t>
            </w:r>
          </w:p>
        </w:tc>
        <w:tc>
          <w:tcPr>
            <w:tcW w:w="5860" w:type="dxa"/>
          </w:tcPr>
          <w:p w:rsidR="00876382" w:rsidRPr="00C915D4" w:rsidRDefault="006F7CE7" w:rsidP="007174B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расчётная масса состава, руководящий подъем и затяжной спуск, влияние условий движения на выбор расчетной массы состава, проверка массы состава по условиям </w:t>
            </w:r>
            <w:proofErr w:type="spellStart"/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трогания</w:t>
            </w:r>
            <w:proofErr w:type="spellEnd"/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с места и габаритам станции, построение кривых движения поезда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V</w:t>
            </w:r>
            <w:r w:rsidRPr="006F7CE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S</w:t>
            </w:r>
            <w:r w:rsidRPr="006F7CE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),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t</w:t>
            </w:r>
            <w:r w:rsidRPr="006F7CE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S</w:t>
            </w:r>
            <w:r w:rsidRPr="006F7CE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расчетно-графическим методом.</w:t>
            </w:r>
          </w:p>
        </w:tc>
      </w:tr>
      <w:tr w:rsidR="00A334FB" w:rsidRPr="00A334FB" w:rsidTr="00E573DC">
        <w:tc>
          <w:tcPr>
            <w:tcW w:w="9286" w:type="dxa"/>
            <w:gridSpan w:val="3"/>
          </w:tcPr>
          <w:p w:rsidR="00A334FB" w:rsidRPr="00A334FB" w:rsidRDefault="00A334FB" w:rsidP="00A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A334FB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7</w:t>
            </w:r>
          </w:p>
        </w:tc>
      </w:tr>
      <w:tr w:rsidR="00876382" w:rsidRPr="00C915D4" w:rsidTr="00A91F32">
        <w:tc>
          <w:tcPr>
            <w:tcW w:w="617" w:type="dxa"/>
          </w:tcPr>
          <w:p w:rsidR="00876382" w:rsidRPr="00C915D4" w:rsidRDefault="00876382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876382" w:rsidRDefault="00876382" w:rsidP="00717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" w:eastAsia="en-US"/>
              </w:rPr>
              <w:t>Принципы расчета электроэнергии на движение поезда</w:t>
            </w:r>
          </w:p>
        </w:tc>
        <w:tc>
          <w:tcPr>
            <w:tcW w:w="5860" w:type="dxa"/>
          </w:tcPr>
          <w:p w:rsidR="00876382" w:rsidRPr="00C915D4" w:rsidRDefault="006F7CE7" w:rsidP="007174B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токовая характеристика электровоза, построение зависимости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I</w:t>
            </w:r>
            <w:r w:rsidR="00527CA7" w:rsidRPr="00527CA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(</w:t>
            </w:r>
            <w:r w:rsidR="00527CA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S</w:t>
            </w:r>
            <w:r w:rsidR="00527CA7" w:rsidRPr="00527CA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),</w:t>
            </w:r>
            <w:r w:rsidR="00527CA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расчет электроэнергии, потребляемой электровозом на тягу поезда по кривым движения поезда </w:t>
            </w:r>
            <w:r w:rsidR="00527CA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V</w:t>
            </w:r>
            <w:r w:rsidR="00527CA7" w:rsidRPr="006F7CE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(</w:t>
            </w:r>
            <w:r w:rsidR="00527CA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S</w:t>
            </w:r>
            <w:r w:rsidR="00527CA7" w:rsidRPr="006F7CE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)</w:t>
            </w:r>
            <w:r w:rsidR="00527CA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и</w:t>
            </w:r>
            <w:r w:rsidR="00527CA7" w:rsidRPr="006F7CE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</w:t>
            </w:r>
            <w:r w:rsidR="00527CA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t</w:t>
            </w:r>
            <w:r w:rsidR="00527CA7" w:rsidRPr="006F7CE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(</w:t>
            </w:r>
            <w:r w:rsidR="00527CA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S</w:t>
            </w:r>
            <w:r w:rsidR="00527CA7" w:rsidRPr="006F7CE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)</w:t>
            </w:r>
            <w:r w:rsidR="00527CA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, полный удельный расход электроэнергии на движение поезда, пути снижения расхода электроэнергии на тягу поезда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.</w:t>
            </w:r>
          </w:p>
        </w:tc>
      </w:tr>
    </w:tbl>
    <w:p w:rsidR="0016412E" w:rsidRPr="00C915D4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C915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 w:rsidR="00BB7641">
        <w:rPr>
          <w:rFonts w:ascii="Times New Roman" w:hAnsi="Times New Roman" w:cs="Times New Roman"/>
          <w:sz w:val="24"/>
          <w:szCs w:val="24"/>
        </w:rPr>
        <w:t xml:space="preserve"> (3 семестр)</w:t>
      </w:r>
      <w:r w:rsidRPr="005338A2">
        <w:rPr>
          <w:rFonts w:ascii="Times New Roman" w:hAnsi="Times New Roman" w:cs="Times New Roman"/>
          <w:sz w:val="24"/>
          <w:szCs w:val="24"/>
        </w:rPr>
        <w:t>:</w:t>
      </w:r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>5 зачетных единиц</w:t>
      </w:r>
      <w:r w:rsidRPr="005338A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180 </w:t>
      </w:r>
      <w:r w:rsidRPr="005338A2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 xml:space="preserve"> 36 </w:t>
      </w:r>
      <w:r w:rsidRPr="005338A2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5338A2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18 </w:t>
      </w:r>
      <w:r w:rsidRPr="005338A2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5338A2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 xml:space="preserve"> 63 </w:t>
      </w:r>
      <w:r w:rsidRPr="005338A2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5338A2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контроль –</w:t>
      </w:r>
      <w:r>
        <w:rPr>
          <w:rFonts w:ascii="Times New Roman" w:hAnsi="Times New Roman" w:cs="Times New Roman"/>
          <w:sz w:val="24"/>
          <w:szCs w:val="24"/>
        </w:rPr>
        <w:t xml:space="preserve"> 63 </w:t>
      </w:r>
      <w:r w:rsidRPr="005338A2">
        <w:rPr>
          <w:rFonts w:ascii="Times New Roman" w:hAnsi="Times New Roman" w:cs="Times New Roman"/>
          <w:sz w:val="24"/>
          <w:szCs w:val="24"/>
        </w:rPr>
        <w:t>час.</w:t>
      </w:r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5338A2">
        <w:rPr>
          <w:rFonts w:ascii="Times New Roman" w:hAnsi="Times New Roman" w:cs="Times New Roman"/>
          <w:sz w:val="24"/>
          <w:szCs w:val="24"/>
        </w:rPr>
        <w:t>.</w:t>
      </w:r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="00BB7641">
        <w:rPr>
          <w:rFonts w:ascii="Times New Roman" w:hAnsi="Times New Roman" w:cs="Times New Roman"/>
          <w:sz w:val="24"/>
          <w:szCs w:val="24"/>
        </w:rPr>
        <w:t xml:space="preserve"> (3 курс)</w:t>
      </w:r>
      <w:r w:rsidRPr="005338A2">
        <w:rPr>
          <w:rFonts w:ascii="Times New Roman" w:hAnsi="Times New Roman" w:cs="Times New Roman"/>
          <w:sz w:val="24"/>
          <w:szCs w:val="24"/>
        </w:rPr>
        <w:t>:</w:t>
      </w:r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 xml:space="preserve"> 5 зачетных единиц</w:t>
      </w:r>
      <w:r w:rsidRPr="005338A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180 </w:t>
      </w:r>
      <w:r w:rsidRPr="005338A2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Pr="005338A2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5338A2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Pr="005338A2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5338A2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 xml:space="preserve"> 151 </w:t>
      </w:r>
      <w:r w:rsidRPr="005338A2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5338A2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5338A2" w:rsidRPr="005338A2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контроль –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5338A2">
        <w:rPr>
          <w:rFonts w:ascii="Times New Roman" w:hAnsi="Times New Roman" w:cs="Times New Roman"/>
          <w:sz w:val="24"/>
          <w:szCs w:val="24"/>
        </w:rPr>
        <w:t>час.</w:t>
      </w:r>
    </w:p>
    <w:p w:rsidR="00960B5F" w:rsidRPr="007E3C95" w:rsidRDefault="005338A2" w:rsidP="00533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8A2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5338A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1"/>
  </w:num>
  <w:num w:numId="20">
    <w:abstractNumId w:val="18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4F0A"/>
    <w:rsid w:val="000600F2"/>
    <w:rsid w:val="000B66D8"/>
    <w:rsid w:val="000C23B7"/>
    <w:rsid w:val="0016412E"/>
    <w:rsid w:val="00176C0D"/>
    <w:rsid w:val="0018685C"/>
    <w:rsid w:val="00192D06"/>
    <w:rsid w:val="001B2509"/>
    <w:rsid w:val="001C1938"/>
    <w:rsid w:val="001C27F9"/>
    <w:rsid w:val="001D352A"/>
    <w:rsid w:val="002528F3"/>
    <w:rsid w:val="002C0923"/>
    <w:rsid w:val="00304772"/>
    <w:rsid w:val="003879B4"/>
    <w:rsid w:val="003B2404"/>
    <w:rsid w:val="003C24FC"/>
    <w:rsid w:val="00403D4E"/>
    <w:rsid w:val="00527CA7"/>
    <w:rsid w:val="005338A2"/>
    <w:rsid w:val="00554D26"/>
    <w:rsid w:val="00595963"/>
    <w:rsid w:val="005A2389"/>
    <w:rsid w:val="005B3624"/>
    <w:rsid w:val="005F40AF"/>
    <w:rsid w:val="005F7EB2"/>
    <w:rsid w:val="006178D0"/>
    <w:rsid w:val="006251D4"/>
    <w:rsid w:val="00632136"/>
    <w:rsid w:val="006546DD"/>
    <w:rsid w:val="00670646"/>
    <w:rsid w:val="00677863"/>
    <w:rsid w:val="006E419F"/>
    <w:rsid w:val="006E519C"/>
    <w:rsid w:val="006F7692"/>
    <w:rsid w:val="006F7CE7"/>
    <w:rsid w:val="007174B2"/>
    <w:rsid w:val="00723430"/>
    <w:rsid w:val="00755167"/>
    <w:rsid w:val="00781391"/>
    <w:rsid w:val="007D37CF"/>
    <w:rsid w:val="007E3C95"/>
    <w:rsid w:val="0085067B"/>
    <w:rsid w:val="00876382"/>
    <w:rsid w:val="008F1B4A"/>
    <w:rsid w:val="00925AF8"/>
    <w:rsid w:val="00960B5F"/>
    <w:rsid w:val="00976A1B"/>
    <w:rsid w:val="00986C3D"/>
    <w:rsid w:val="009908C8"/>
    <w:rsid w:val="009F2C18"/>
    <w:rsid w:val="00A334FB"/>
    <w:rsid w:val="00A3637B"/>
    <w:rsid w:val="00A76C17"/>
    <w:rsid w:val="00AB220C"/>
    <w:rsid w:val="00AD3A97"/>
    <w:rsid w:val="00AE13A5"/>
    <w:rsid w:val="00BB7641"/>
    <w:rsid w:val="00BF0E1C"/>
    <w:rsid w:val="00C24BF2"/>
    <w:rsid w:val="00C915D4"/>
    <w:rsid w:val="00C96600"/>
    <w:rsid w:val="00CA296E"/>
    <w:rsid w:val="00CA35C1"/>
    <w:rsid w:val="00CB3E9E"/>
    <w:rsid w:val="00CD100F"/>
    <w:rsid w:val="00D00295"/>
    <w:rsid w:val="00D06585"/>
    <w:rsid w:val="00D5166C"/>
    <w:rsid w:val="00DB7C05"/>
    <w:rsid w:val="00DC2C38"/>
    <w:rsid w:val="00E00D05"/>
    <w:rsid w:val="00FB609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1317-303A-41B4-9F6F-07F2ABC8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VVS</cp:lastModifiedBy>
  <cp:revision>3</cp:revision>
  <cp:lastPrinted>2016-02-19T06:41:00Z</cp:lastPrinted>
  <dcterms:created xsi:type="dcterms:W3CDTF">2017-12-11T06:27:00Z</dcterms:created>
  <dcterms:modified xsi:type="dcterms:W3CDTF">2017-12-11T06:29:00Z</dcterms:modified>
</cp:coreProperties>
</file>