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C96600" w:rsidRPr="005C345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93F" w:rsidRPr="005C3452">
        <w:rPr>
          <w:rFonts w:ascii="Times New Roman" w:hAnsi="Times New Roman" w:cs="Times New Roman"/>
          <w:sz w:val="24"/>
          <w:szCs w:val="24"/>
        </w:rPr>
        <w:t>38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9B4DD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D55C3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уметь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F17096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владеть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456F4F" w:rsidRPr="005C3452" w:rsidRDefault="00456F4F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ЭПС как динамическая </w:t>
            </w: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система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pStyle w:val="a6"/>
              <w:numPr>
                <w:ilvl w:val="0"/>
                <w:numId w:val="2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lastRenderedPageBreak/>
              <w:t xml:space="preserve">представление ЭПС в виде динамической схемы с </w:t>
            </w:r>
            <w:r w:rsidRPr="005C3452">
              <w:rPr>
                <w:kern w:val="20"/>
                <w:szCs w:val="28"/>
                <w:lang w:eastAsia="en-US"/>
              </w:rPr>
              <w:lastRenderedPageBreak/>
              <w:t>конечным числом степеней свободы;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роль рессорного подвешивания, его влияние на динамические показатели ЭПС;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действительные и эквивалентные точки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определение эквивалентной жесткости;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принципы выбора параметров рессорного подвешивания;</w:t>
            </w:r>
          </w:p>
          <w:p w:rsidR="00456F4F" w:rsidRPr="005C3452" w:rsidRDefault="00456F4F" w:rsidP="00052CAA">
            <w:pPr>
              <w:pStyle w:val="a9"/>
              <w:numPr>
                <w:ilvl w:val="0"/>
                <w:numId w:val="3"/>
              </w:numPr>
              <w:ind w:left="0" w:firstLine="0"/>
              <w:rPr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kern w:val="20"/>
                <w:sz w:val="24"/>
                <w:szCs w:val="28"/>
                <w:lang w:eastAsia="en-US"/>
              </w:rPr>
              <w:t>оценка различных схем рессорного подвешивания с точки зрения динамического воздействия ЭПС на путь;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центр упругости рессорного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связь параметров рессорного подвешивания с распределением динамических нагрузок между отдельными колесными парами.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Колебания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виды колебаний подвижного состава и их возбудители;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взаимосвязь отдельных видов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свободные и вынужденные колебания подвижного состава;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резонанс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критическая скорость движения;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извилистое движение колесной пары;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главных частотах и главных колебаниях;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гасителей колебаний и их характеристики;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параметров гасителей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плавность хода ЭПС и ее оценка.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Движение ЭПС в кривой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задачи, решаемые при изучении движения ЭПС в кривых;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рельсовой и колесной колеях;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колея зазоров;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причины, затрудняющие прохождение экипажа в кривой и меры по их устранению;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понятие о центре поворота и максимальной базе; 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центробежной силы и давления ветра;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динамическое вписывание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направляющих сил;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допустимая скорость движения ЭПС в кривой по величине непогашенного ускорения;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влияние конструкции связей букс с рамой тележки на условия вписывания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устойчивости экипажа от опрокидывания в кривой с точки зрения безопасности движения.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ЭПС и пути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расчетные режимы работы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схода экипажа с рельсов;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воздействие стыка на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дополнительных вертикальных сил.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Тяговый привод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три класса тяговых приводов, применяемых на ЭПС и их сравнение по динамическим показателям; 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тяговых передач;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вертикальная динамика опорно-осевого и независимого тяговых приводов;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постоянство передаточного отношения редуктора как критерий совершенства тяговой передачи;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работы тяговых передач с замкнутыми кинематическими цепями.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72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5, 6</w:t>
      </w:r>
      <w:r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72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117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6, 7</w:t>
      </w:r>
      <w:r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  <w:bookmarkStart w:id="0" w:name="_GoBack"/>
      <w:bookmarkEnd w:id="0"/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Pr="00C07BE3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B732C" w:rsidRDefault="001B732C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C3452">
        <w:rPr>
          <w:rFonts w:ascii="Times New Roman" w:hAnsi="Times New Roman" w:cs="Times New Roman"/>
          <w:sz w:val="24"/>
          <w:szCs w:val="24"/>
        </w:rPr>
        <w:t>3 курс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4 курс – экзамен, курсовой проект,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1B7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0C5DD1"/>
    <w:rsid w:val="0016412E"/>
    <w:rsid w:val="00176C0D"/>
    <w:rsid w:val="0018685C"/>
    <w:rsid w:val="00192D06"/>
    <w:rsid w:val="0019777D"/>
    <w:rsid w:val="001A22C9"/>
    <w:rsid w:val="001B732C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FF6"/>
  <w15:docId w15:val="{98AD3EB3-350C-4AA2-966E-BF5A803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E2D4-3033-4B71-86EC-A3C66C7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ПГУПС</cp:lastModifiedBy>
  <cp:revision>6</cp:revision>
  <cp:lastPrinted>2016-02-19T06:41:00Z</cp:lastPrinted>
  <dcterms:created xsi:type="dcterms:W3CDTF">2017-01-20T08:12:00Z</dcterms:created>
  <dcterms:modified xsi:type="dcterms:W3CDTF">2018-01-30T11:55:00Z</dcterms:modified>
</cp:coreProperties>
</file>