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E443B">
        <w:rPr>
          <w:rFonts w:ascii="Times New Roman" w:hAnsi="Times New Roman" w:cs="Times New Roman"/>
          <w:sz w:val="24"/>
          <w:szCs w:val="24"/>
        </w:rPr>
        <w:t>Системы управления электроподвижным составом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E443B">
        <w:rPr>
          <w:rFonts w:ascii="Times New Roman" w:hAnsi="Times New Roman" w:cs="Times New Roman"/>
          <w:sz w:val="24"/>
          <w:szCs w:val="24"/>
        </w:rPr>
        <w:t>Системы управления электроподвижным составом» (Б</w:t>
      </w:r>
      <w:proofErr w:type="gramStart"/>
      <w:r w:rsidR="000E443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0E443B">
        <w:rPr>
          <w:rFonts w:ascii="Times New Roman" w:hAnsi="Times New Roman" w:cs="Times New Roman"/>
          <w:sz w:val="24"/>
          <w:szCs w:val="24"/>
        </w:rPr>
        <w:t>.4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E443B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50587" w:rsidRPr="00250587" w:rsidRDefault="001C1938" w:rsidP="00250587">
      <w:pPr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250587">
        <w:rPr>
          <w:rFonts w:ascii="Times New Roman" w:hAnsi="Times New Roman" w:cs="Times New Roman"/>
          <w:sz w:val="24"/>
          <w:szCs w:val="24"/>
        </w:rPr>
        <w:t>Системы управления электроподвижным составом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250587" w:rsidRPr="00250587">
        <w:rPr>
          <w:rFonts w:ascii="Times New Roman" w:hAnsi="Times New Roman" w:cs="Tahoma"/>
          <w:sz w:val="24"/>
          <w:szCs w:val="24"/>
        </w:rPr>
        <w:t xml:space="preserve">является приобретение совокупности знаний, умений и навыков для применения их при решении вопросов о процессе управления электроподвижным составом (ЭПС) в режимах трогания с </w:t>
      </w:r>
      <w:proofErr w:type="gramStart"/>
      <w:r w:rsidR="00250587" w:rsidRPr="00250587">
        <w:rPr>
          <w:rFonts w:ascii="Times New Roman" w:hAnsi="Times New Roman" w:cs="Tahoma"/>
          <w:sz w:val="24"/>
          <w:szCs w:val="24"/>
        </w:rPr>
        <w:t>места,  движения</w:t>
      </w:r>
      <w:proofErr w:type="gramEnd"/>
      <w:r w:rsidR="00250587" w:rsidRPr="00250587">
        <w:rPr>
          <w:rFonts w:ascii="Times New Roman" w:hAnsi="Times New Roman" w:cs="Tahoma"/>
          <w:sz w:val="24"/>
          <w:szCs w:val="24"/>
        </w:rPr>
        <w:t xml:space="preserve"> по перегону и торможения.</w:t>
      </w:r>
    </w:p>
    <w:p w:rsidR="00250587" w:rsidRPr="00250587" w:rsidRDefault="00250587" w:rsidP="00250587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250587"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>изучение основ проектирования систем управления тяговым электроприводом транспортных средств постоянного и переменного тока;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>изучение методов построения схем силовых цепей и устройств управления ЭПС;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 xml:space="preserve">изучение влияния алгоритмов работы системы управления ЭПС </w:t>
      </w:r>
      <w:r w:rsidR="00F5733B" w:rsidRPr="00250587">
        <w:rPr>
          <w:rFonts w:ascii="Times New Roman" w:hAnsi="Times New Roman"/>
          <w:bCs/>
          <w:kern w:val="20"/>
          <w:sz w:val="24"/>
          <w:szCs w:val="24"/>
        </w:rPr>
        <w:t>на его</w:t>
      </w:r>
      <w:r w:rsidRPr="00250587">
        <w:rPr>
          <w:rFonts w:ascii="Times New Roman" w:hAnsi="Times New Roman"/>
          <w:bCs/>
          <w:kern w:val="20"/>
          <w:sz w:val="24"/>
          <w:szCs w:val="24"/>
        </w:rPr>
        <w:t xml:space="preserve"> тяговые и тормозные свойства и энергетическую эффективность;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Cs/>
          <w:kern w:val="20"/>
          <w:sz w:val="24"/>
          <w:szCs w:val="24"/>
        </w:rPr>
      </w:pPr>
      <w:r w:rsidRPr="00250587">
        <w:rPr>
          <w:rFonts w:ascii="Times New Roman" w:hAnsi="Times New Roman"/>
          <w:bCs/>
          <w:kern w:val="20"/>
          <w:sz w:val="24"/>
          <w:szCs w:val="24"/>
        </w:rPr>
        <w:t xml:space="preserve">изучение </w:t>
      </w:r>
      <w:r w:rsidRPr="00250587">
        <w:rPr>
          <w:rFonts w:ascii="Times New Roman" w:hAnsi="Times New Roman"/>
          <w:kern w:val="20"/>
          <w:sz w:val="24"/>
          <w:szCs w:val="24"/>
        </w:rPr>
        <w:t>условий эксплуатации и ремонта систем управления ЭПС</w:t>
      </w:r>
      <w:r w:rsidRPr="00250587">
        <w:rPr>
          <w:rFonts w:ascii="Times New Roman" w:hAnsi="Times New Roman"/>
          <w:bCs/>
          <w:kern w:val="20"/>
          <w:sz w:val="24"/>
          <w:szCs w:val="24"/>
        </w:rPr>
        <w:t>.</w:t>
      </w:r>
    </w:p>
    <w:p w:rsidR="00D06585" w:rsidRPr="007E3C95" w:rsidRDefault="007E3C95" w:rsidP="002505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AE62E1">
        <w:rPr>
          <w:rFonts w:ascii="Times New Roman" w:hAnsi="Times New Roman" w:cs="Times New Roman"/>
          <w:sz w:val="24"/>
          <w:szCs w:val="24"/>
        </w:rPr>
        <w:t>ПСК-3.1</w:t>
      </w:r>
      <w:r w:rsidR="00250587">
        <w:rPr>
          <w:rFonts w:ascii="Times New Roman" w:hAnsi="Times New Roman" w:cs="Times New Roman"/>
          <w:sz w:val="24"/>
          <w:szCs w:val="24"/>
        </w:rPr>
        <w:t>, ПСК-3.4, ПСК-3.5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160" w:line="259" w:lineRule="auto"/>
        <w:ind w:left="0"/>
        <w:jc w:val="both"/>
        <w:rPr>
          <w:rFonts w:ascii="Times New Roman" w:hAnsi="Times New Roman"/>
          <w:color w:val="000000"/>
          <w:spacing w:val="1"/>
          <w:kern w:val="20"/>
          <w:sz w:val="24"/>
          <w:szCs w:val="24"/>
        </w:rPr>
      </w:pPr>
      <w:r w:rsidRPr="00250587">
        <w:rPr>
          <w:rFonts w:ascii="Times New Roman" w:hAnsi="Times New Roman"/>
          <w:color w:val="000000"/>
          <w:spacing w:val="1"/>
          <w:kern w:val="20"/>
          <w:sz w:val="24"/>
          <w:szCs w:val="24"/>
        </w:rPr>
        <w:t>классификацию, назначение, условия эксплуатации, функциональные и структурные схемы, а также электротяговые и тяговые характеристики системы управления ЭПС.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50587">
        <w:rPr>
          <w:rFonts w:ascii="Times New Roman" w:eastAsia="Calibri" w:hAnsi="Times New Roman" w:cs="Times New Roman"/>
          <w:sz w:val="24"/>
          <w:szCs w:val="20"/>
        </w:rPr>
        <w:t>использовать основные расчетные соотношения для определения параметров элементов, узлов и блоков систем управления ЭПС.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250587" w:rsidRPr="00250587" w:rsidRDefault="00250587" w:rsidP="00250587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250587">
        <w:rPr>
          <w:rFonts w:ascii="Times New Roman" w:eastAsia="Calibri" w:hAnsi="Times New Roman" w:cs="Times New Roman"/>
          <w:sz w:val="24"/>
          <w:szCs w:val="20"/>
        </w:rPr>
        <w:t>методами рациональной эксплуатации, технического обслуживания и ремонта, а также расчета систем управления ЭПС.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250587" w:rsidRPr="001C1938" w:rsidTr="00AE6287">
        <w:tc>
          <w:tcPr>
            <w:tcW w:w="617" w:type="dxa"/>
          </w:tcPr>
          <w:p w:rsidR="00250587" w:rsidRPr="001C1938" w:rsidRDefault="00250587" w:rsidP="0025058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250587" w:rsidRPr="00250587" w:rsidRDefault="00250587" w:rsidP="00250587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Функции систем управления ЭПС. Классификация систем управления ЭПС</w:t>
            </w:r>
          </w:p>
        </w:tc>
        <w:tc>
          <w:tcPr>
            <w:tcW w:w="5860" w:type="dxa"/>
          </w:tcPr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функции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 xml:space="preserve"> систем управления ЭПС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  <w:lang w:val="en-US"/>
              </w:rPr>
              <w:t>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реализация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 xml:space="preserve"> задач управления ЭПС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  <w:lang w:val="en-US"/>
              </w:rPr>
              <w:t>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классификация систем управления ЭПС по роду тока в контактной сети, по тяговым</w:t>
            </w:r>
            <w:r>
              <w:rPr>
                <w:rFonts w:ascii="Times New Roman" w:hAnsi="Times New Roman"/>
                <w:kern w:val="20"/>
                <w:sz w:val="24"/>
                <w:szCs w:val="24"/>
              </w:rPr>
              <w:t xml:space="preserve"> 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электродвигателям, по типам преобразователей.</w:t>
            </w:r>
          </w:p>
        </w:tc>
      </w:tr>
      <w:tr w:rsidR="00250587" w:rsidRPr="001C1938" w:rsidTr="00E44A38">
        <w:tc>
          <w:tcPr>
            <w:tcW w:w="617" w:type="dxa"/>
          </w:tcPr>
          <w:p w:rsidR="00250587" w:rsidRPr="001C1938" w:rsidRDefault="00250587" w:rsidP="0025058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250587" w:rsidRPr="00250587" w:rsidRDefault="00250587" w:rsidP="00250587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 xml:space="preserve">Системы управления режимом тяги ЭПС постоянного тока с коллекторными </w:t>
            </w:r>
            <w:r w:rsidRPr="00250587">
              <w:rPr>
                <w:rFonts w:ascii="Times New Roman" w:hAnsi="Times New Roman"/>
                <w:bCs/>
                <w:kern w:val="20"/>
                <w:sz w:val="24"/>
                <w:szCs w:val="24"/>
              </w:rPr>
              <w:lastRenderedPageBreak/>
              <w:t>тяговыми электродвигателями.</w:t>
            </w:r>
          </w:p>
        </w:tc>
        <w:tc>
          <w:tcPr>
            <w:tcW w:w="5860" w:type="dxa"/>
          </w:tcPr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bCs/>
                <w:kern w:val="20"/>
                <w:sz w:val="24"/>
                <w:szCs w:val="24"/>
              </w:rPr>
              <w:lastRenderedPageBreak/>
              <w:t>принципы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 xml:space="preserve"> регулирования скорости и силы тяги коллекторных ТЭД постоянного тока;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 xml:space="preserve">регулирование силы тяги и скорости ЭПС; 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условия плавного реостатного пуска;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расчет ступеней пускового резистора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  <w:lang w:val="en-US"/>
              </w:rPr>
              <w:t>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маневровые ступени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  <w:lang w:val="en-US"/>
              </w:rPr>
              <w:t>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дополнительные ступени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  <w:lang w:val="en-US"/>
              </w:rPr>
              <w:t>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управление возбуждением тяговых электродвигателей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  <w:lang w:val="en-US"/>
              </w:rPr>
              <w:t>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принципы автоматического пуска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  <w:lang w:val="en-US"/>
              </w:rPr>
              <w:t>.</w:t>
            </w:r>
          </w:p>
        </w:tc>
      </w:tr>
      <w:tr w:rsidR="00250587" w:rsidRPr="001C1938" w:rsidTr="003560E9">
        <w:tc>
          <w:tcPr>
            <w:tcW w:w="617" w:type="dxa"/>
          </w:tcPr>
          <w:p w:rsidR="00250587" w:rsidRPr="001C1938" w:rsidRDefault="00250587" w:rsidP="0025058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250587" w:rsidRPr="00250587" w:rsidRDefault="00250587" w:rsidP="00250587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Системы управления режимом тяги ЭПС однофазно-постоянного тока со статическими преобразователями</w:t>
            </w:r>
          </w:p>
        </w:tc>
        <w:tc>
          <w:tcPr>
            <w:tcW w:w="5860" w:type="dxa"/>
          </w:tcPr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условия работы трансформаторов в схемах однофазного выпрямления с нагрузкой на тяговый электродвигатель;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пульсации выпрямленного тока и их влияние на работу тяговых электродвигателей;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коммутация полупроводниковых приборов выпрямителя</w:t>
            </w:r>
            <w:r w:rsidRPr="00250587">
              <w:rPr>
                <w:rFonts w:ascii="Times New Roman" w:hAnsi="Times New Roman"/>
                <w:kern w:val="20"/>
                <w:sz w:val="24"/>
                <w:szCs w:val="24"/>
                <w:lang w:val="en-US"/>
              </w:rPr>
              <w:t>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 xml:space="preserve"> внешняя характеристика выпрямителя;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амплитудное регулирование со стороны низшего и высшего напряжения трансформатора;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расчет ступени амплитудного регулирования напряжения;</w:t>
            </w:r>
          </w:p>
          <w:p w:rsidR="00250587" w:rsidRPr="00250587" w:rsidRDefault="00250587" w:rsidP="00250587">
            <w:pPr>
              <w:numPr>
                <w:ilvl w:val="0"/>
                <w:numId w:val="17"/>
              </w:numPr>
              <w:tabs>
                <w:tab w:val="clear" w:pos="1778"/>
              </w:tabs>
              <w:spacing w:after="0" w:line="240" w:lineRule="auto"/>
              <w:ind w:left="119" w:firstLine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250587">
              <w:rPr>
                <w:rFonts w:ascii="Times New Roman" w:hAnsi="Times New Roman"/>
                <w:kern w:val="20"/>
                <w:sz w:val="24"/>
                <w:szCs w:val="24"/>
              </w:rPr>
              <w:t>фазовое, амплитудно-фазовое (зонно-фазовое) регулирование выпрямленного напряжения.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5733B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5733B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 семестр – экзамен, 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F5733B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5733B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5733B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 семестр –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F5733B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5733B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6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5733B" w:rsidRPr="00C07BE3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F5733B" w:rsidP="00F57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4 курс – экзамен, 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E443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0587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4C46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F542AB"/>
    <w:rsid w:val="00F5733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183C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9EAC-C5A9-4232-AD97-2782B04D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22</cp:revision>
  <cp:lastPrinted>2016-02-19T06:41:00Z</cp:lastPrinted>
  <dcterms:created xsi:type="dcterms:W3CDTF">2017-01-12T18:20:00Z</dcterms:created>
  <dcterms:modified xsi:type="dcterms:W3CDTF">2018-01-31T08:50:00Z</dcterms:modified>
</cp:coreProperties>
</file>