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BC40CA">
        <w:rPr>
          <w:szCs w:val="28"/>
        </w:rPr>
        <w:t>Теория автоматического управления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2F7DEC">
      <w:pPr>
        <w:jc w:val="both"/>
      </w:pPr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BC40CA">
        <w:rPr>
          <w:szCs w:val="28"/>
        </w:rPr>
        <w:t>Теория автоматического управления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BC40CA">
        <w:rPr>
          <w:szCs w:val="28"/>
        </w:rPr>
        <w:t>35</w:t>
      </w:r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BC40CA" w:rsidRDefault="00BC40CA" w:rsidP="00BC40CA">
      <w:pPr>
        <w:ind w:left="-5"/>
      </w:pPr>
      <w:r>
        <w:rPr>
          <w:b/>
        </w:rPr>
        <w:t xml:space="preserve">2. Цель и задачи дисциплины </w:t>
      </w:r>
    </w:p>
    <w:p w:rsidR="00BC40CA" w:rsidRDefault="00BC40CA" w:rsidP="00BC40CA">
      <w:pPr>
        <w:ind w:left="-5"/>
      </w:pPr>
      <w: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эффективности их использования: Для достижения поставленных целей решаются следующие задачи: </w:t>
      </w:r>
    </w:p>
    <w:p w:rsidR="00BC40CA" w:rsidRDefault="00BC40CA" w:rsidP="00BC40CA">
      <w:pPr>
        <w:ind w:left="37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основные понятия о транспортных системах; </w:t>
      </w:r>
    </w:p>
    <w:p w:rsidR="00BC40CA" w:rsidRDefault="00BC40CA" w:rsidP="00BC40CA">
      <w:pPr>
        <w:ind w:left="37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основы построения систем автоматики; </w:t>
      </w:r>
    </w:p>
    <w:p w:rsidR="00BC40CA" w:rsidRDefault="00BC40CA" w:rsidP="00BC40CA">
      <w:pPr>
        <w:ind w:left="37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телемеханические системы управления и контроля;  </w:t>
      </w:r>
    </w:p>
    <w:p w:rsidR="00BC40CA" w:rsidRDefault="00BC40CA" w:rsidP="00BC40CA">
      <w:pPr>
        <w:spacing w:after="9"/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методы и средства повышения безопасности функционирования систем автоматического управления. </w:t>
      </w:r>
    </w:p>
    <w:p w:rsidR="00BC40CA" w:rsidRDefault="00BC40CA" w:rsidP="00BC40CA">
      <w:pPr>
        <w:spacing w:line="259" w:lineRule="auto"/>
        <w:ind w:left="-5"/>
      </w:pPr>
      <w:r>
        <w:rPr>
          <w:b/>
        </w:rPr>
        <w:t xml:space="preserve">3. Перечень планируемых результатов обучения по дисциплине </w:t>
      </w:r>
    </w:p>
    <w:p w:rsidR="00BC40CA" w:rsidRDefault="00BC40CA" w:rsidP="00BC40CA">
      <w:pPr>
        <w:ind w:left="-5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BC40CA" w:rsidRDefault="00BC40CA" w:rsidP="00BC40CA">
      <w:pPr>
        <w:spacing w:line="321" w:lineRule="auto"/>
        <w:ind w:left="-5" w:right="2555"/>
      </w:pPr>
      <w:r>
        <w:t xml:space="preserve">В результате освоения дисциплины обучающийся должен: </w:t>
      </w:r>
      <w:r>
        <w:rPr>
          <w:b/>
        </w:rPr>
        <w:t>Знать:</w:t>
      </w:r>
      <w:r>
        <w:t xml:space="preserve"> теоретические основы систем автоматики и телемеханики; </w:t>
      </w:r>
    </w:p>
    <w:p w:rsidR="00BC40CA" w:rsidRDefault="00BC40CA" w:rsidP="00BC40CA">
      <w:pPr>
        <w:spacing w:after="33"/>
        <w:ind w:left="-5"/>
      </w:pPr>
      <w:r>
        <w:t xml:space="preserve">структуру автоматизированной системы управления устройствами инфраструктуры, системы обеспечения движения поездов; </w:t>
      </w:r>
    </w:p>
    <w:p w:rsidR="00BC40CA" w:rsidRDefault="00BC40CA" w:rsidP="00BC40CA">
      <w:pPr>
        <w:ind w:left="-5"/>
      </w:pPr>
      <w:r>
        <w:t xml:space="preserve">телемеханические системы контроля и управления, системы и сети передачи данных, цифровые и микропроцессорные информационно-управляющие системы; средства и методы повышения безопасности в системах обеспечения движения поездов; основные характеристики устройств электроснабжения, сигнализации, связи и </w:t>
      </w:r>
      <w:proofErr w:type="gramStart"/>
      <w:r>
        <w:t>их узлов</w:t>
      </w:r>
      <w:proofErr w:type="gramEnd"/>
      <w:r>
        <w:t xml:space="preserve"> и систем; жизненный цикл устройств обеспечения движения поездов. </w:t>
      </w:r>
    </w:p>
    <w:p w:rsidR="00BC40CA" w:rsidRDefault="00BC40CA" w:rsidP="00BC40CA">
      <w:pPr>
        <w:ind w:left="-5"/>
      </w:pPr>
      <w:r>
        <w:rPr>
          <w:b/>
        </w:rPr>
        <w:t>Уметь:</w:t>
      </w:r>
      <w: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 </w:t>
      </w:r>
    </w:p>
    <w:p w:rsidR="00BC40CA" w:rsidRDefault="00BC40CA" w:rsidP="00BC40CA">
      <w:pPr>
        <w:ind w:left="-5"/>
      </w:pPr>
      <w:r>
        <w:t xml:space="preserve"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поездов, обнаруживать и устранять отказы систем обеспечения движения поездов; </w:t>
      </w:r>
    </w:p>
    <w:p w:rsidR="00BC40CA" w:rsidRDefault="00BC40CA" w:rsidP="00BC40CA">
      <w:pPr>
        <w:spacing w:after="1"/>
        <w:ind w:left="-5"/>
      </w:pPr>
      <w:r>
        <w:t xml:space="preserve"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 </w:t>
      </w:r>
    </w:p>
    <w:p w:rsidR="00BC40CA" w:rsidRDefault="00BC40CA" w:rsidP="00BC40CA">
      <w:pPr>
        <w:ind w:left="-5"/>
      </w:pPr>
      <w:r>
        <w:t xml:space="preserve"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 </w:t>
      </w:r>
    </w:p>
    <w:p w:rsidR="00BC40CA" w:rsidRDefault="00BC40CA" w:rsidP="00BC40CA">
      <w:pPr>
        <w:ind w:left="-5"/>
      </w:pPr>
      <w:r>
        <w:lastRenderedPageBreak/>
        <w:t xml:space="preserve"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 </w:t>
      </w:r>
    </w:p>
    <w:p w:rsidR="00BC40CA" w:rsidRDefault="00BC40CA" w:rsidP="00BC40CA">
      <w:pPr>
        <w:ind w:left="-5"/>
      </w:pPr>
      <w:r>
        <w:rPr>
          <w:b/>
        </w:rPr>
        <w:t>Владеть:</w:t>
      </w:r>
      <w:r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BC40CA" w:rsidRDefault="00BC40CA" w:rsidP="00BC40CA">
      <w:pPr>
        <w:ind w:left="-5"/>
      </w:pPr>
      <w:r>
        <w:t xml:space="preserve"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 </w:t>
      </w:r>
    </w:p>
    <w:p w:rsidR="00BC40CA" w:rsidRDefault="00BC40CA" w:rsidP="00BC40CA">
      <w:pPr>
        <w:ind w:left="-5"/>
      </w:pPr>
      <w: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 Изучение дисциплины направлено на формирование следующих компетенций: ПК-15, ПК-16, ПК-17, ПК-18.</w:t>
      </w:r>
      <w:r>
        <w:rPr>
          <w:rFonts w:ascii="Calibri" w:eastAsia="Calibri" w:hAnsi="Calibri" w:cs="Calibri"/>
          <w:sz w:val="22"/>
        </w:rPr>
        <w:t xml:space="preserve"> </w:t>
      </w:r>
    </w:p>
    <w:p w:rsidR="00BC40CA" w:rsidRDefault="00BC40CA" w:rsidP="00BC40CA">
      <w:pPr>
        <w:spacing w:after="63" w:line="259" w:lineRule="auto"/>
        <w:ind w:left="-5"/>
      </w:pPr>
      <w:r>
        <w:rPr>
          <w:b/>
        </w:rPr>
        <w:t xml:space="preserve">4. Содержание и структура дисциплины </w:t>
      </w:r>
    </w:p>
    <w:p w:rsidR="00BC40CA" w:rsidRDefault="00BC40CA" w:rsidP="00BC40CA">
      <w:pPr>
        <w:ind w:left="-5"/>
      </w:pPr>
      <w:r>
        <w:t xml:space="preserve">Модуль I – Введение в теорию автоматического управления  </w:t>
      </w:r>
    </w:p>
    <w:p w:rsidR="00BC40CA" w:rsidRDefault="00BC40CA" w:rsidP="00BC40CA">
      <w:pPr>
        <w:ind w:left="-5"/>
      </w:pPr>
      <w:r>
        <w:t xml:space="preserve">Раздел 1. Основные понятия теории автоматического управления </w:t>
      </w:r>
    </w:p>
    <w:p w:rsidR="00BC40CA" w:rsidRDefault="00BC40CA" w:rsidP="00BC40CA">
      <w:pPr>
        <w:ind w:left="-5"/>
      </w:pPr>
      <w:r>
        <w:t xml:space="preserve">Раздел 2. Системы автоматического регулирования </w:t>
      </w:r>
    </w:p>
    <w:p w:rsidR="00BC40CA" w:rsidRDefault="00BC40CA" w:rsidP="00BC40CA">
      <w:pPr>
        <w:ind w:left="-5"/>
      </w:pPr>
      <w:r>
        <w:t xml:space="preserve">Модуль II – Математические основы теории автоматического управления </w:t>
      </w:r>
    </w:p>
    <w:p w:rsidR="00BC40CA" w:rsidRDefault="00BC40CA" w:rsidP="00BC40CA">
      <w:pPr>
        <w:ind w:left="-5"/>
      </w:pPr>
      <w:r>
        <w:t xml:space="preserve">Раздел 3. Характеристики систем автоматического управления </w:t>
      </w:r>
    </w:p>
    <w:p w:rsidR="00BC40CA" w:rsidRDefault="00BC40CA" w:rsidP="00BC40CA">
      <w:pPr>
        <w:ind w:left="-5"/>
      </w:pPr>
      <w:r>
        <w:t xml:space="preserve">Раздел 4. Уравнения динамики линейных систем автоматического управления </w:t>
      </w:r>
    </w:p>
    <w:p w:rsidR="00BC40CA" w:rsidRDefault="00BC40CA" w:rsidP="00BC40CA">
      <w:pPr>
        <w:ind w:left="-5"/>
      </w:pPr>
      <w:r>
        <w:t xml:space="preserve">Раздел 5. Расчет передаточной функции сложной системы автоматического управления </w:t>
      </w:r>
    </w:p>
    <w:p w:rsidR="00BC40CA" w:rsidRDefault="00BC40CA" w:rsidP="00BC40CA">
      <w:pPr>
        <w:ind w:left="-5"/>
      </w:pPr>
      <w:r>
        <w:t xml:space="preserve">Раздел 6. Анализ систем автоматического управления </w:t>
      </w:r>
    </w:p>
    <w:p w:rsidR="00BC40CA" w:rsidRDefault="00BC40CA" w:rsidP="00BC40CA">
      <w:pPr>
        <w:ind w:left="-5"/>
      </w:pPr>
      <w:r>
        <w:t xml:space="preserve">Модуль III – Качество переходных процессов </w:t>
      </w:r>
    </w:p>
    <w:p w:rsidR="00BC40CA" w:rsidRDefault="00BC40CA" w:rsidP="00BC40CA">
      <w:pPr>
        <w:ind w:left="-5"/>
      </w:pPr>
      <w:r>
        <w:t xml:space="preserve">Раздел 7. Характеристики переходных процессов </w:t>
      </w:r>
    </w:p>
    <w:p w:rsidR="00BC40CA" w:rsidRDefault="00BC40CA" w:rsidP="00BC40CA">
      <w:pPr>
        <w:ind w:left="-5"/>
      </w:pPr>
      <w:r>
        <w:t xml:space="preserve">Раздел 8. Корректирующие устройства </w:t>
      </w:r>
    </w:p>
    <w:p w:rsidR="00BC40CA" w:rsidRDefault="00BC40CA" w:rsidP="00BC40CA">
      <w:pPr>
        <w:ind w:left="-5"/>
      </w:pPr>
      <w:r>
        <w:t xml:space="preserve">Модуль IV – Многообразие систем автоматического управления </w:t>
      </w:r>
    </w:p>
    <w:p w:rsidR="00BC40CA" w:rsidRDefault="00BC40CA" w:rsidP="00BC40CA">
      <w:pPr>
        <w:ind w:left="-5"/>
      </w:pPr>
      <w:r>
        <w:t xml:space="preserve">Раздел 9. Теория нелинейных систем автоматического управления </w:t>
      </w:r>
    </w:p>
    <w:p w:rsidR="00076F0B" w:rsidRDefault="00BC40CA" w:rsidP="00BC40CA">
      <w:pPr>
        <w:contextualSpacing/>
        <w:jc w:val="both"/>
      </w:pPr>
      <w:r>
        <w:t>Раздел 10. Другие сис</w:t>
      </w:r>
      <w:r w:rsidR="00FB1104">
        <w:t>темы автоматического управления</w:t>
      </w:r>
      <w:bookmarkStart w:id="0" w:name="_GoBack"/>
      <w:bookmarkEnd w:id="0"/>
    </w:p>
    <w:p w:rsidR="00926574" w:rsidRPr="0016222B" w:rsidRDefault="00076F0B" w:rsidP="00983674">
      <w:pPr>
        <w:contextualSpacing/>
        <w:jc w:val="both"/>
        <w:rPr>
          <w:b/>
        </w:rPr>
      </w:pPr>
      <w:r>
        <w:rPr>
          <w:b/>
        </w:rPr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BC40CA">
        <w:t>6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BC40CA">
        <w:t>216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BC40CA">
        <w:rPr>
          <w:szCs w:val="22"/>
        </w:rPr>
        <w:t>,2017</w:t>
      </w:r>
      <w:r w:rsidR="00926574" w:rsidRPr="00926574">
        <w:rPr>
          <w:szCs w:val="22"/>
        </w:rPr>
        <w:t xml:space="preserve"> год набора)</w:t>
      </w:r>
      <w:r w:rsidRPr="00926574">
        <w:rPr>
          <w:szCs w:val="22"/>
        </w:rPr>
        <w:t>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BC40CA">
        <w:t>48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BC40CA">
        <w:t>32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BC40CA">
        <w:t>82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BC40CA">
        <w:t>54</w:t>
      </w:r>
      <w:r>
        <w:t xml:space="preserve"> час.</w:t>
      </w:r>
    </w:p>
    <w:p w:rsidR="000550D0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926574">
        <w:rPr>
          <w:szCs w:val="22"/>
        </w:rPr>
        <w:t xml:space="preserve"> </w:t>
      </w:r>
      <w:r w:rsidR="00926574" w:rsidRPr="00926574">
        <w:rPr>
          <w:szCs w:val="22"/>
        </w:rPr>
        <w:t>год набора)</w:t>
      </w:r>
      <w:r w:rsidRPr="00CB428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BC40CA">
        <w:t>32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BC40CA">
        <w:t>32</w:t>
      </w:r>
      <w:r w:rsidRPr="00B828EA"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BC40CA">
        <w:t>10</w:t>
      </w:r>
      <w:r w:rsidR="00926574">
        <w:t>7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926574">
        <w:t>9</w:t>
      </w:r>
      <w:r>
        <w:t xml:space="preserve"> час.</w:t>
      </w:r>
    </w:p>
    <w:p w:rsidR="00AC7063" w:rsidRPr="00CB4280" w:rsidRDefault="00AC7063" w:rsidP="00AC7063">
      <w:pPr>
        <w:jc w:val="both"/>
      </w:pPr>
      <w:r w:rsidRPr="00CB4280">
        <w:t>Форма контроля знаний</w:t>
      </w:r>
      <w:r w:rsidR="000550D0">
        <w:t xml:space="preserve"> </w:t>
      </w:r>
      <w:r w:rsidRPr="00CB4280">
        <w:t xml:space="preserve">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926574">
        <w:rPr>
          <w:szCs w:val="22"/>
        </w:rPr>
        <w:t xml:space="preserve">,2017 </w:t>
      </w:r>
      <w:r w:rsidR="00926574" w:rsidRPr="00926574">
        <w:rPr>
          <w:szCs w:val="22"/>
        </w:rPr>
        <w:t>год набора)</w:t>
      </w:r>
      <w:r w:rsidRPr="001627B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BC40CA">
        <w:t>12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BC40CA">
        <w:t>10</w:t>
      </w:r>
      <w:r w:rsidRPr="00B828EA"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BC40CA">
        <w:t>181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BC40CA">
        <w:t>13</w:t>
      </w:r>
      <w:r>
        <w:t xml:space="preserve">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76F0B"/>
    <w:rsid w:val="00091C0D"/>
    <w:rsid w:val="000B1B19"/>
    <w:rsid w:val="0013567D"/>
    <w:rsid w:val="0016222B"/>
    <w:rsid w:val="00241AD9"/>
    <w:rsid w:val="00253DFD"/>
    <w:rsid w:val="002F7DEC"/>
    <w:rsid w:val="00420AA4"/>
    <w:rsid w:val="00481D85"/>
    <w:rsid w:val="004E789B"/>
    <w:rsid w:val="00564247"/>
    <w:rsid w:val="005722E4"/>
    <w:rsid w:val="006754E2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26574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C40CA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F17883"/>
    <w:rsid w:val="00FA2AA4"/>
    <w:rsid w:val="00FB110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E9BF5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  <w:style w:type="paragraph" w:styleId="a9">
    <w:name w:val="List Paragraph"/>
    <w:basedOn w:val="a"/>
    <w:uiPriority w:val="99"/>
    <w:qFormat/>
    <w:rsid w:val="00076F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21</cp:revision>
  <cp:lastPrinted>2016-02-26T10:59:00Z</cp:lastPrinted>
  <dcterms:created xsi:type="dcterms:W3CDTF">2017-10-30T15:13:00Z</dcterms:created>
  <dcterms:modified xsi:type="dcterms:W3CDTF">2017-12-14T15:46:00Z</dcterms:modified>
</cp:coreProperties>
</file>