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153" w:rsidRDefault="00165153" w:rsidP="0016515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165153" w:rsidSect="00165153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D0967" wp14:editId="5A3E6EC9">
            <wp:extent cx="7553325" cy="106675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87" cy="106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53" w:rsidRDefault="00542EEF" w:rsidP="001F00F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1651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646035" cy="10088245"/>
            <wp:effectExtent l="0" t="0" r="0" b="8255"/>
            <wp:wrapThrough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5153" w:rsidRDefault="00165153" w:rsidP="00165153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  <w:sectPr w:rsidR="00165153" w:rsidSect="00165153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617FC2" wp14:editId="386F2D70">
            <wp:extent cx="7562850" cy="10658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14" cy="1066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F00FA" w:rsidRPr="00104973" w:rsidRDefault="001F00FA" w:rsidP="001F00F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</w:t>
      </w:r>
      <w:r w:rsidR="002631A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2631AC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1296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3B42F3" w:rsidRPr="00C568EB">
        <w:rPr>
          <w:rFonts w:eastAsia="Calibri" w:cs="Times New Roman"/>
          <w:bCs/>
          <w:sz w:val="28"/>
          <w:szCs w:val="28"/>
          <w:lang w:eastAsia="ru-RU"/>
        </w:rPr>
        <w:t>23.05.05 «Системы обеспечения движения поездов»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3B42F3" w:rsidRPr="003B42F3">
        <w:rPr>
          <w:rFonts w:eastAsia="Times New Roman" w:cs="Times New Roman"/>
          <w:sz w:val="28"/>
          <w:szCs w:val="28"/>
          <w:lang w:eastAsia="ru-RU"/>
        </w:rPr>
        <w:t>Организация высокоскоростного движения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3B42F3" w:rsidRPr="003B42F3" w:rsidRDefault="001F00FA" w:rsidP="003B42F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3B42F3" w:rsidRPr="003B42F3">
        <w:rPr>
          <w:rFonts w:eastAsia="Times New Roman" w:cs="Times New Roman"/>
          <w:sz w:val="28"/>
          <w:szCs w:val="28"/>
          <w:lang w:eastAsia="ru-RU"/>
        </w:rPr>
        <w:t>приобретение обучающимися знаний, умений и навыков, позволяющих им сформировать компетентность в области скоростного и высокоскоростного движения на электрифицированном железнодорожном транспорте и готовностью их использования в профессиональной деятельности.</w:t>
      </w:r>
    </w:p>
    <w:p w:rsidR="003B42F3" w:rsidRPr="003B42F3" w:rsidRDefault="003B42F3" w:rsidP="003B42F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3B42F3" w:rsidRPr="003B42F3" w:rsidRDefault="003B42F3" w:rsidP="003B42F3">
      <w:pPr>
        <w:numPr>
          <w:ilvl w:val="0"/>
          <w:numId w:val="14"/>
        </w:numPr>
        <w:tabs>
          <w:tab w:val="left" w:pos="42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изучение социальной значимости ВСМ;</w:t>
      </w:r>
    </w:p>
    <w:p w:rsidR="003B42F3" w:rsidRPr="003B42F3" w:rsidRDefault="003B42F3" w:rsidP="003B42F3">
      <w:pPr>
        <w:numPr>
          <w:ilvl w:val="0"/>
          <w:numId w:val="14"/>
        </w:numPr>
        <w:tabs>
          <w:tab w:val="left" w:pos="42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изучение нормативной базы проектирования, строительства и эксплуатации высокоскоростных железнодорожных магистралей (далее – ВСМ);</w:t>
      </w:r>
    </w:p>
    <w:p w:rsidR="003B42F3" w:rsidRPr="003B42F3" w:rsidRDefault="003B42F3" w:rsidP="003B42F3">
      <w:pPr>
        <w:numPr>
          <w:ilvl w:val="0"/>
          <w:numId w:val="14"/>
        </w:numPr>
        <w:tabs>
          <w:tab w:val="left" w:pos="42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изучение особенностей инфраструктуры и подвижного состава ВСМ;</w:t>
      </w:r>
    </w:p>
    <w:p w:rsidR="003B42F3" w:rsidRDefault="003B42F3" w:rsidP="003B42F3">
      <w:pPr>
        <w:numPr>
          <w:ilvl w:val="0"/>
          <w:numId w:val="14"/>
        </w:numPr>
        <w:tabs>
          <w:tab w:val="left" w:pos="42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 xml:space="preserve">ознакомление с новейшими технологиями в области тягового электроснабжения и электроснабжения </w:t>
      </w:r>
      <w:proofErr w:type="spellStart"/>
      <w:r w:rsidRPr="003B42F3">
        <w:rPr>
          <w:rFonts w:eastAsia="Times New Roman" w:cs="Times New Roman"/>
          <w:sz w:val="28"/>
          <w:szCs w:val="28"/>
          <w:lang w:eastAsia="ru-RU"/>
        </w:rPr>
        <w:t>нетяговых</w:t>
      </w:r>
      <w:proofErr w:type="spellEnd"/>
      <w:r w:rsidRPr="003B42F3">
        <w:rPr>
          <w:rFonts w:eastAsia="Times New Roman" w:cs="Times New Roman"/>
          <w:sz w:val="28"/>
          <w:szCs w:val="28"/>
          <w:lang w:eastAsia="ru-RU"/>
        </w:rPr>
        <w:t xml:space="preserve"> потребителей ВСМ;</w:t>
      </w:r>
    </w:p>
    <w:p w:rsidR="001F00FA" w:rsidRPr="003B42F3" w:rsidRDefault="003B42F3" w:rsidP="003B42F3">
      <w:pPr>
        <w:numPr>
          <w:ilvl w:val="0"/>
          <w:numId w:val="14"/>
        </w:numPr>
        <w:tabs>
          <w:tab w:val="left" w:pos="42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ознакомление с перспективными видами высокоскоростного наземного транспорта.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нормативные документы для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отечественный и зарубежный опыт создания и эксплуатации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условия реализации повышенной скорости на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основные элементы инфраструктуры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 xml:space="preserve">конструктивные особенности систем тягового электроснабжения и электроснабжения </w:t>
      </w:r>
      <w:proofErr w:type="spellStart"/>
      <w:r w:rsidRPr="003B42F3">
        <w:rPr>
          <w:rFonts w:eastAsia="Times New Roman" w:cs="Times New Roman"/>
          <w:sz w:val="28"/>
          <w:szCs w:val="28"/>
          <w:lang w:eastAsia="ru-RU"/>
        </w:rPr>
        <w:t>нетяговых</w:t>
      </w:r>
      <w:proofErr w:type="spellEnd"/>
      <w:r w:rsidRPr="003B42F3">
        <w:rPr>
          <w:rFonts w:eastAsia="Times New Roman" w:cs="Times New Roman"/>
          <w:sz w:val="28"/>
          <w:szCs w:val="28"/>
          <w:lang w:eastAsia="ru-RU"/>
        </w:rPr>
        <w:t xml:space="preserve"> потребителей на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особенности подвижного состава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современные технологии проектирования, строительства и эксплуатации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системы безопасности на ВСМ;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методы контроля, диагностики и мониторинга технических средств;</w:t>
      </w:r>
    </w:p>
    <w:p w:rsidR="003B42F3" w:rsidRPr="003B42F3" w:rsidRDefault="003B42F3" w:rsidP="003B42F3">
      <w:pPr>
        <w:numPr>
          <w:ilvl w:val="0"/>
          <w:numId w:val="15"/>
        </w:numPr>
        <w:tabs>
          <w:tab w:val="left" w:pos="40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социальное значение ВСМ.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B42F3" w:rsidRPr="003B42F3" w:rsidRDefault="003B42F3" w:rsidP="003B42F3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применять полученные знания в практической и научной сфере;</w:t>
      </w:r>
    </w:p>
    <w:p w:rsidR="003B42F3" w:rsidRPr="003B42F3" w:rsidRDefault="003B42F3" w:rsidP="003B42F3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lastRenderedPageBreak/>
        <w:t>анализировать проектные решения для ВСМ и делать по ним заключения;</w:t>
      </w:r>
    </w:p>
    <w:p w:rsidR="003B42F3" w:rsidRPr="003B42F3" w:rsidRDefault="003B42F3" w:rsidP="003B42F3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42F3">
        <w:rPr>
          <w:rFonts w:eastAsia="Times New Roman" w:cs="Times New Roman"/>
          <w:sz w:val="28"/>
          <w:szCs w:val="28"/>
          <w:lang w:eastAsia="ru-RU"/>
        </w:rPr>
        <w:t>решать задачи и формулировать требования по эксплуатации ВСМ.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A01250" w:rsidRPr="00A01250" w:rsidRDefault="00A01250" w:rsidP="00A0125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1250">
        <w:rPr>
          <w:rFonts w:eastAsia="Times New Roman" w:cs="Times New Roman"/>
          <w:sz w:val="28"/>
          <w:szCs w:val="28"/>
          <w:lang w:eastAsia="ru-RU"/>
        </w:rPr>
        <w:t>методами определения достаточного уровня безопасности инфраструктуры и подвижного состава ВСМ;</w:t>
      </w:r>
    </w:p>
    <w:p w:rsidR="00A01250" w:rsidRPr="00A01250" w:rsidRDefault="00A01250" w:rsidP="00A0125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1250">
        <w:rPr>
          <w:rFonts w:eastAsia="Times New Roman" w:cs="Times New Roman"/>
          <w:sz w:val="28"/>
          <w:szCs w:val="28"/>
          <w:lang w:eastAsia="ru-RU"/>
        </w:rPr>
        <w:t>методами моделирования взаимодействия системы тягового электроснабжения и высокоскоростного подвижного состава на ВСМ;</w:t>
      </w:r>
    </w:p>
    <w:p w:rsidR="00A01250" w:rsidRPr="00A01250" w:rsidRDefault="00A01250" w:rsidP="00A0125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1250">
        <w:rPr>
          <w:rFonts w:eastAsia="Times New Roman" w:cs="Times New Roman"/>
          <w:sz w:val="28"/>
          <w:szCs w:val="28"/>
          <w:lang w:eastAsia="ru-RU"/>
        </w:rPr>
        <w:t xml:space="preserve">методами оценки конструктивных параметров системы тягового электроснабжения и электроснабжения </w:t>
      </w:r>
      <w:proofErr w:type="spellStart"/>
      <w:r w:rsidRPr="00A01250">
        <w:rPr>
          <w:rFonts w:eastAsia="Times New Roman" w:cs="Times New Roman"/>
          <w:sz w:val="28"/>
          <w:szCs w:val="28"/>
          <w:lang w:eastAsia="ru-RU"/>
        </w:rPr>
        <w:t>нетяговых</w:t>
      </w:r>
      <w:proofErr w:type="spellEnd"/>
      <w:r w:rsidRPr="00A01250">
        <w:rPr>
          <w:rFonts w:eastAsia="Times New Roman" w:cs="Times New Roman"/>
          <w:sz w:val="28"/>
          <w:szCs w:val="28"/>
          <w:lang w:eastAsia="ru-RU"/>
        </w:rPr>
        <w:t xml:space="preserve"> потребителей на ВСМ.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A01250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01250" w:rsidRPr="00A01250" w:rsidRDefault="00A01250" w:rsidP="00A01250">
      <w:pPr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1250">
        <w:rPr>
          <w:rFonts w:eastAsia="Times New Roman" w:cs="Times New Roman"/>
          <w:bCs/>
          <w:sz w:val="28"/>
          <w:szCs w:val="28"/>
          <w:lang w:eastAsia="ru-RU"/>
        </w:rPr>
        <w:t>в проектно-конструкторской деятельности:</w:t>
      </w:r>
    </w:p>
    <w:p w:rsidR="00A01250" w:rsidRPr="00A01250" w:rsidRDefault="00A01250" w:rsidP="00A0125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1250">
        <w:rPr>
          <w:rFonts w:eastAsia="Times New Roman" w:cs="Times New Roman"/>
          <w:bCs/>
          <w:sz w:val="28"/>
          <w:szCs w:val="28"/>
          <w:lang w:eastAsia="ru-RU"/>
        </w:rPr>
        <w:t>готовность к организации проектирования систем обеспечения движения поездов, способность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 разрабатывать конструкторскую документацию и нормативно-технические документы с использованием компьютерных технологий (ПК-11);</w:t>
      </w:r>
    </w:p>
    <w:p w:rsidR="00A01250" w:rsidRPr="00A01250" w:rsidRDefault="00A01250" w:rsidP="00A0125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A01250">
        <w:rPr>
          <w:rFonts w:eastAsia="Times New Roman" w:cs="Times New Roman"/>
          <w:bCs/>
          <w:sz w:val="28"/>
          <w:szCs w:val="28"/>
          <w:lang w:eastAsia="ru-RU"/>
        </w:rPr>
        <w:t>способность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</w:t>
      </w:r>
      <w:proofErr w:type="gramEnd"/>
      <w:r w:rsidRPr="00A01250">
        <w:rPr>
          <w:rFonts w:eastAsia="Times New Roman" w:cs="Times New Roman"/>
          <w:bCs/>
          <w:sz w:val="28"/>
          <w:szCs w:val="28"/>
          <w:lang w:eastAsia="ru-RU"/>
        </w:rPr>
        <w:t xml:space="preserve"> и реконструкции систем обеспечения движения поездов (ПК-13);</w:t>
      </w:r>
    </w:p>
    <w:p w:rsidR="00A01250" w:rsidRPr="00A01250" w:rsidRDefault="00A01250" w:rsidP="00A0125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1250">
        <w:rPr>
          <w:rFonts w:eastAsia="Calibri" w:cs="Times New Roman"/>
          <w:sz w:val="28"/>
          <w:szCs w:val="28"/>
        </w:rPr>
        <w:t>в научно-исследовательской деятельности:</w:t>
      </w:r>
    </w:p>
    <w:p w:rsidR="00A01250" w:rsidRPr="00A01250" w:rsidRDefault="00A01250" w:rsidP="00A0125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1250">
        <w:rPr>
          <w:rFonts w:eastAsia="Times New Roman" w:cs="Times New Roman"/>
          <w:sz w:val="28"/>
          <w:szCs w:val="28"/>
          <w:lang w:eastAsia="ru-RU"/>
        </w:rPr>
        <w:t>способность анализировать поставленные исследовательские задачи в областях проектирования и ремонта систем обеспечения движения поездов (ПК-14);</w:t>
      </w:r>
    </w:p>
    <w:p w:rsidR="00A01250" w:rsidRDefault="00A01250" w:rsidP="00A0125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1250">
        <w:rPr>
          <w:rFonts w:eastAsia="Times New Roman" w:cs="Times New Roman"/>
          <w:sz w:val="28"/>
          <w:szCs w:val="28"/>
          <w:lang w:eastAsia="ru-RU"/>
        </w:rPr>
        <w:lastRenderedPageBreak/>
        <w:t>способностью составлять описания проводимых исследований и разрабатываемых проектов, собирать данные для составления отчетов, обзоров и другой технической документации (ПК-17)</w:t>
      </w:r>
      <w:r w:rsidRPr="00A01250">
        <w:rPr>
          <w:rFonts w:eastAsia="Calibri" w:cs="Times New Roman"/>
          <w:sz w:val="28"/>
          <w:szCs w:val="28"/>
          <w:lang w:eastAsia="ru-RU"/>
        </w:rPr>
        <w:t>.</w:t>
      </w:r>
    </w:p>
    <w:p w:rsidR="001F00FA" w:rsidRPr="00104973" w:rsidRDefault="001F00FA" w:rsidP="00A0125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272BD" w:rsidRDefault="008811A7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679DF">
        <w:rPr>
          <w:sz w:val="28"/>
          <w:szCs w:val="28"/>
        </w:rPr>
        <w:t>Дисциплина «Организация высокоскоростного движения» (Б</w:t>
      </w:r>
      <w:proofErr w:type="gramStart"/>
      <w:r w:rsidRPr="00F679DF">
        <w:rPr>
          <w:sz w:val="28"/>
          <w:szCs w:val="28"/>
        </w:rPr>
        <w:t>1</w:t>
      </w:r>
      <w:proofErr w:type="gramEnd"/>
      <w:r w:rsidRPr="00F679DF">
        <w:rPr>
          <w:sz w:val="28"/>
          <w:szCs w:val="28"/>
        </w:rPr>
        <w:t xml:space="preserve">.В.ОД.4) относится к </w:t>
      </w:r>
      <w:r>
        <w:rPr>
          <w:sz w:val="28"/>
          <w:szCs w:val="28"/>
        </w:rPr>
        <w:t>вариативной</w:t>
      </w:r>
      <w:r w:rsidRPr="00F679DF">
        <w:rPr>
          <w:sz w:val="28"/>
          <w:szCs w:val="28"/>
        </w:rPr>
        <w:t xml:space="preserve"> части и является обязательной</w:t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272BD" w:rsidRPr="00104973" w:rsidRDefault="001272BD" w:rsidP="001272B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F00FA" w:rsidRPr="00104973" w:rsidRDefault="00990ECE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1F00FA" w:rsidRPr="00104973" w:rsidTr="008105B4">
        <w:trPr>
          <w:jc w:val="center"/>
        </w:trPr>
        <w:tc>
          <w:tcPr>
            <w:tcW w:w="324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90ECE" w:rsidRPr="00104973" w:rsidTr="008105B4">
        <w:trPr>
          <w:jc w:val="center"/>
        </w:trPr>
        <w:tc>
          <w:tcPr>
            <w:tcW w:w="324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—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8105B4" w:rsidRPr="00104973" w:rsidRDefault="004A4F08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820" w:type="pct"/>
            <w:vAlign w:val="center"/>
          </w:tcPr>
          <w:p w:rsidR="008105B4" w:rsidRPr="00104973" w:rsidRDefault="004A4F08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 / 5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 / 5</w:t>
            </w:r>
          </w:p>
        </w:tc>
      </w:tr>
    </w:tbl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4A4F08" w:rsidRPr="00104973" w:rsidTr="00A5359D">
        <w:trPr>
          <w:jc w:val="center"/>
        </w:trPr>
        <w:tc>
          <w:tcPr>
            <w:tcW w:w="324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A4F08" w:rsidRPr="00104973" w:rsidTr="00A5359D">
        <w:trPr>
          <w:jc w:val="center"/>
        </w:trPr>
        <w:tc>
          <w:tcPr>
            <w:tcW w:w="324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20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—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820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139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0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820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 / 5</w:t>
            </w:r>
          </w:p>
        </w:tc>
        <w:tc>
          <w:tcPr>
            <w:tcW w:w="820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 / 5</w:t>
            </w:r>
          </w:p>
        </w:tc>
      </w:tr>
    </w:tbl>
    <w:p w:rsidR="004A4F08" w:rsidRDefault="004A4F08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2508"/>
        <w:gridCol w:w="6392"/>
      </w:tblGrid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Содержание раздела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Реализация повышенной скорости на железнодорожном транспорте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Скорость, как один из основных факторов развития ж.д. транспорта. Мировой опыт повышения скоростей. Рекорды скорости. Понятия скоростного и высокоскоростного движения. Виды скоростного и высокоскоростного движения. Развитие сети ВСМ в мире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Нормативные требования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Основные требования, предъявляемые к ВСМ. Гармонизация требований. Основные нормативные документы для проектирования и строительства ВСМ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Выбор трассы ВСМ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Факторы, определяющие выбор трассы ВСМ. Технические нормы проектирования плана главных путей ВСМ. Технические нормы проектирования продольного профиля главных путей ВСМ</w:t>
            </w:r>
          </w:p>
        </w:tc>
      </w:tr>
      <w:tr w:rsidR="004A4F08" w:rsidRPr="004A4F08" w:rsidTr="004A4F08">
        <w:trPr>
          <w:trHeight w:val="2711"/>
        </w:trPr>
        <w:tc>
          <w:tcPr>
            <w:tcW w:w="351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1310" w:type="pct"/>
            <w:tcBorders>
              <w:right w:val="single" w:sz="4" w:space="0" w:color="auto"/>
            </w:tcBorders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Инфраструктура ВСМ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</w:tcBorders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 xml:space="preserve">Основные требования к земляному полотну ВСМ. Особенности верхнего строения пути ВСМ. Балластные и </w:t>
            </w:r>
            <w:proofErr w:type="spellStart"/>
            <w:r w:rsidRPr="004A4F08">
              <w:rPr>
                <w:rFonts w:eastAsia="Calibri" w:cs="Times New Roman"/>
                <w:szCs w:val="24"/>
                <w:lang w:eastAsia="ru-RU"/>
              </w:rPr>
              <w:t>безбалластные</w:t>
            </w:r>
            <w:proofErr w:type="spellEnd"/>
            <w:r w:rsidRPr="004A4F08">
              <w:rPr>
                <w:rFonts w:eastAsia="Calibri" w:cs="Times New Roman"/>
                <w:szCs w:val="24"/>
                <w:lang w:eastAsia="ru-RU"/>
              </w:rPr>
              <w:t xml:space="preserve"> конструкции верхнего строения пути ВСМ. Особенности применения искусственных сооружений на ВСМ. Основные требования к мостам, эстакадам, виадукам и тоннелям на ВСМ. Особенности систем автоматики и телемеханики на ВСМ. Структура и уровни Европейской системы управления поездами. Особенности организации связи на ВСМ. Особенности системы тягового электроснабжения и электроснабжения </w:t>
            </w:r>
            <w:proofErr w:type="spellStart"/>
            <w:r w:rsidRPr="004A4F08">
              <w:rPr>
                <w:rFonts w:eastAsia="Calibri" w:cs="Times New Roman"/>
                <w:szCs w:val="24"/>
                <w:lang w:eastAsia="ru-RU"/>
              </w:rPr>
              <w:t>нетяговых</w:t>
            </w:r>
            <w:proofErr w:type="spellEnd"/>
            <w:r w:rsidRPr="004A4F08">
              <w:rPr>
                <w:rFonts w:eastAsia="Calibri" w:cs="Times New Roman"/>
                <w:szCs w:val="24"/>
                <w:lang w:eastAsia="ru-RU"/>
              </w:rPr>
              <w:t xml:space="preserve"> потребителей на ВСМ</w:t>
            </w:r>
          </w:p>
        </w:tc>
      </w:tr>
      <w:tr w:rsidR="004A4F08" w:rsidRPr="004A4F08" w:rsidTr="004A4F08">
        <w:trPr>
          <w:trHeight w:val="794"/>
        </w:trPr>
        <w:tc>
          <w:tcPr>
            <w:tcW w:w="351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Подвижной состав ВСМ</w:t>
            </w:r>
          </w:p>
        </w:tc>
        <w:tc>
          <w:tcPr>
            <w:tcW w:w="3339" w:type="pct"/>
            <w:tcBorders>
              <w:top w:val="single" w:sz="4" w:space="0" w:color="auto"/>
            </w:tcBorders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Особенности подвижного состава на ВСМ. Требования по обеспечению безопасности в аварийных ситуациях. Подвижной состав с устройствами наклона кузова</w:t>
            </w:r>
          </w:p>
        </w:tc>
      </w:tr>
      <w:tr w:rsidR="004A4F08" w:rsidRPr="004A4F08" w:rsidTr="004A4F08">
        <w:trPr>
          <w:trHeight w:val="443"/>
        </w:trPr>
        <w:tc>
          <w:tcPr>
            <w:tcW w:w="351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Перспективные виды высокоскоростного транспорта</w:t>
            </w:r>
          </w:p>
        </w:tc>
        <w:tc>
          <w:tcPr>
            <w:tcW w:w="3339" w:type="pct"/>
          </w:tcPr>
          <w:p w:rsidR="004A4F08" w:rsidRPr="004A4F08" w:rsidRDefault="004A4F08" w:rsidP="004A4F08">
            <w:pPr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 xml:space="preserve">Транспорт на магнитном подвесе. Электромагнитное и электродинамическое подвешивание. Сравнение высокоскоростных магнитных и колёсных поездов. Высокоскоростная транспортная система </w:t>
            </w:r>
            <w:proofErr w:type="spellStart"/>
            <w:r w:rsidRPr="004A4F08">
              <w:rPr>
                <w:rFonts w:eastAsia="Calibri" w:cs="Times New Roman"/>
                <w:szCs w:val="24"/>
                <w:lang w:val="en-US" w:eastAsia="ru-RU"/>
              </w:rPr>
              <w:t>Hyperloop</w:t>
            </w:r>
            <w:proofErr w:type="spellEnd"/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A4F08" w:rsidRDefault="004A4F0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815"/>
        <w:gridCol w:w="735"/>
        <w:gridCol w:w="735"/>
        <w:gridCol w:w="735"/>
        <w:gridCol w:w="735"/>
      </w:tblGrid>
      <w:tr w:rsidR="004A4F08" w:rsidRPr="004A4F08" w:rsidTr="00635778">
        <w:trPr>
          <w:jc w:val="center"/>
        </w:trPr>
        <w:tc>
          <w:tcPr>
            <w:tcW w:w="426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038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Реализация повышенной скорости на железнодорожном транспорте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84" w:type="pct"/>
            <w:vAlign w:val="center"/>
          </w:tcPr>
          <w:p w:rsidR="004A4F08" w:rsidRPr="004A4F08" w:rsidRDefault="009A3D84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Нормативные требования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4A4F08" w:rsidRPr="004A4F08" w:rsidRDefault="009A3D84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Выбор трассы ВСМ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Инфраструктура ВСМ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24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9A3D8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  <w:r w:rsidR="009A3D84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20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Подвижной состав ВСМ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84" w:type="pct"/>
            <w:vAlign w:val="center"/>
          </w:tcPr>
          <w:p w:rsidR="004A4F08" w:rsidRPr="004A4F08" w:rsidRDefault="009A3D84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</w:tr>
      <w:tr w:rsidR="004A4F08" w:rsidRPr="004A4F08" w:rsidTr="00635778">
        <w:trPr>
          <w:jc w:val="center"/>
        </w:trPr>
        <w:tc>
          <w:tcPr>
            <w:tcW w:w="426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038" w:type="pct"/>
          </w:tcPr>
          <w:p w:rsidR="004A4F08" w:rsidRPr="004A4F08" w:rsidRDefault="004A4F08" w:rsidP="004A4F0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Перспективные виды высокоскоростного транспорта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4A4F08" w:rsidRPr="004A4F08" w:rsidTr="00635778">
        <w:trPr>
          <w:jc w:val="center"/>
        </w:trPr>
        <w:tc>
          <w:tcPr>
            <w:tcW w:w="3464" w:type="pct"/>
            <w:gridSpan w:val="2"/>
            <w:vAlign w:val="center"/>
          </w:tcPr>
          <w:p w:rsidR="004A4F08" w:rsidRPr="004A4F08" w:rsidRDefault="004A4F08" w:rsidP="004A4F08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5</w:t>
            </w:r>
            <w:r>
              <w:rPr>
                <w:rFonts w:eastAsia="Calibri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—</w:t>
            </w:r>
          </w:p>
        </w:tc>
        <w:tc>
          <w:tcPr>
            <w:tcW w:w="384" w:type="pct"/>
            <w:vAlign w:val="center"/>
          </w:tcPr>
          <w:p w:rsidR="004A4F08" w:rsidRPr="004A4F08" w:rsidRDefault="0063577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54</w:t>
            </w:r>
          </w:p>
        </w:tc>
      </w:tr>
    </w:tbl>
    <w:p w:rsidR="001F00FA" w:rsidRPr="00104973" w:rsidRDefault="0063577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5956"/>
        <w:gridCol w:w="701"/>
        <w:gridCol w:w="701"/>
        <w:gridCol w:w="701"/>
        <w:gridCol w:w="699"/>
      </w:tblGrid>
      <w:tr w:rsidR="00635778" w:rsidRPr="00635778" w:rsidTr="00635778">
        <w:trPr>
          <w:jc w:val="center"/>
        </w:trPr>
        <w:tc>
          <w:tcPr>
            <w:tcW w:w="425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 xml:space="preserve">№ </w:t>
            </w:r>
            <w:proofErr w:type="gramStart"/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63577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111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36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36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6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365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Реализация повышенной скорости на железнодорожном транспорте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10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Нормативные требования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Выбор трассы ВСМ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Инфраструктура ВСМ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70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Подвижной состав ВСМ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9A3D84" w:rsidRPr="00635778" w:rsidTr="00635778">
        <w:trPr>
          <w:jc w:val="center"/>
        </w:trPr>
        <w:tc>
          <w:tcPr>
            <w:tcW w:w="42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111" w:type="pct"/>
          </w:tcPr>
          <w:p w:rsidR="009A3D84" w:rsidRPr="00635778" w:rsidRDefault="009A3D84" w:rsidP="00635778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Перспективные виды высокоскоростного транспорта</w:t>
            </w:r>
          </w:p>
        </w:tc>
        <w:tc>
          <w:tcPr>
            <w:tcW w:w="366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580AB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6" w:type="pct"/>
            <w:vAlign w:val="center"/>
          </w:tcPr>
          <w:p w:rsidR="009A3D84" w:rsidRPr="004A4F08" w:rsidRDefault="009A3D84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9A3D84" w:rsidRPr="00635778" w:rsidRDefault="009A3D84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15</w:t>
            </w:r>
          </w:p>
        </w:tc>
      </w:tr>
      <w:tr w:rsidR="00635778" w:rsidRPr="00635778" w:rsidTr="00635778">
        <w:trPr>
          <w:jc w:val="center"/>
        </w:trPr>
        <w:tc>
          <w:tcPr>
            <w:tcW w:w="3536" w:type="pct"/>
            <w:gridSpan w:val="2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36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36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366" w:type="pct"/>
            <w:vAlign w:val="center"/>
          </w:tcPr>
          <w:p w:rsidR="00635778" w:rsidRPr="004A4F08" w:rsidRDefault="00635778" w:rsidP="00A5359D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—</w:t>
            </w:r>
          </w:p>
        </w:tc>
        <w:tc>
          <w:tcPr>
            <w:tcW w:w="365" w:type="pct"/>
            <w:vAlign w:val="center"/>
          </w:tcPr>
          <w:p w:rsidR="00635778" w:rsidRPr="004A4F08" w:rsidRDefault="00635778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1</w:t>
            </w:r>
            <w:r>
              <w:rPr>
                <w:rFonts w:eastAsia="Calibri" w:cs="Times New Roman"/>
                <w:b/>
                <w:szCs w:val="24"/>
                <w:lang w:eastAsia="ru-RU"/>
              </w:rPr>
              <w:t>39</w:t>
            </w: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F00FA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3819"/>
        <w:gridCol w:w="5069"/>
      </w:tblGrid>
      <w:tr w:rsidR="004C4B07" w:rsidRPr="004C4B07" w:rsidTr="00A5359D">
        <w:tc>
          <w:tcPr>
            <w:tcW w:w="357" w:type="pct"/>
            <w:tcBorders>
              <w:bottom w:val="nil"/>
            </w:tcBorders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4C4B07">
              <w:rPr>
                <w:rFonts w:eastAsia="Calibri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4C4B07">
              <w:rPr>
                <w:rFonts w:eastAsia="Calibri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1995" w:type="pct"/>
            <w:tcBorders>
              <w:bottom w:val="nil"/>
            </w:tcBorders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2648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4C4B07" w:rsidRPr="004C4B07" w:rsidTr="000351F1">
        <w:trPr>
          <w:trHeight w:val="865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Реализация повышенной скорости на железнодорожном транспорте</w:t>
            </w:r>
          </w:p>
        </w:tc>
        <w:tc>
          <w:tcPr>
            <w:tcW w:w="2648" w:type="pct"/>
            <w:vMerge w:val="restart"/>
          </w:tcPr>
          <w:p w:rsidR="004C4B07" w:rsidRDefault="004C4B07" w:rsidP="0072772F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72772F">
              <w:rPr>
                <w:rFonts w:eastAsia="Calibri" w:cs="Times New Roman"/>
                <w:szCs w:val="24"/>
                <w:lang w:eastAsia="ru-RU"/>
              </w:rPr>
              <w:t>Высокоскоростной железнодорожный транспорт. В 2-х томах</w:t>
            </w:r>
            <w:proofErr w:type="gramStart"/>
            <w:r w:rsidRPr="0072772F">
              <w:rPr>
                <w:rFonts w:eastAsia="Calibri" w:cs="Times New Roman"/>
                <w:szCs w:val="24"/>
                <w:lang w:eastAsia="ru-RU"/>
              </w:rPr>
              <w:t xml:space="preserve"> / П</w:t>
            </w:r>
            <w:proofErr w:type="gramEnd"/>
            <w:r w:rsidRPr="0072772F">
              <w:rPr>
                <w:rFonts w:eastAsia="Calibri" w:cs="Times New Roman"/>
                <w:szCs w:val="24"/>
                <w:lang w:eastAsia="ru-RU"/>
              </w:rPr>
              <w:t>од общей редакцией И.П. Киселева.– М.: ФГОУ «Учебно-методический центр по образованию на железнодорожном транспорте», 2014, Т</w:t>
            </w:r>
            <w:proofErr w:type="gramStart"/>
            <w:r w:rsidRPr="0072772F">
              <w:rPr>
                <w:rFonts w:eastAsia="Calibri" w:cs="Times New Roman"/>
                <w:szCs w:val="24"/>
                <w:lang w:eastAsia="ru-RU"/>
              </w:rPr>
              <w:t>1</w:t>
            </w:r>
            <w:proofErr w:type="gramEnd"/>
            <w:r w:rsidRPr="0072772F">
              <w:rPr>
                <w:rFonts w:eastAsia="Calibri" w:cs="Times New Roman"/>
                <w:szCs w:val="24"/>
                <w:lang w:eastAsia="ru-RU"/>
              </w:rPr>
              <w:t>.–3</w:t>
            </w:r>
            <w:r w:rsidR="009A3D84" w:rsidRPr="0072772F">
              <w:rPr>
                <w:rFonts w:eastAsia="Calibri" w:cs="Times New Roman"/>
                <w:szCs w:val="24"/>
                <w:lang w:eastAsia="ru-RU"/>
              </w:rPr>
              <w:t>08</w:t>
            </w:r>
            <w:r w:rsidRPr="0072772F">
              <w:rPr>
                <w:rFonts w:eastAsia="Calibri" w:cs="Times New Roman"/>
                <w:szCs w:val="24"/>
                <w:lang w:eastAsia="ru-RU"/>
              </w:rPr>
              <w:t xml:space="preserve"> с.; Т2. –3</w:t>
            </w:r>
            <w:r w:rsidR="009A3D84" w:rsidRPr="0072772F">
              <w:rPr>
                <w:rFonts w:eastAsia="Calibri" w:cs="Times New Roman"/>
                <w:szCs w:val="24"/>
                <w:lang w:eastAsia="ru-RU"/>
              </w:rPr>
              <w:t>72</w:t>
            </w:r>
            <w:r w:rsidRPr="0072772F">
              <w:rPr>
                <w:rFonts w:eastAsia="Calibri" w:cs="Times New Roman"/>
                <w:szCs w:val="24"/>
                <w:lang w:eastAsia="ru-RU"/>
              </w:rPr>
              <w:t xml:space="preserve"> с.</w:t>
            </w:r>
          </w:p>
          <w:p w:rsidR="000351F1" w:rsidRPr="000351F1" w:rsidRDefault="000351F1" w:rsidP="000351F1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0351F1">
              <w:rPr>
                <w:rFonts w:eastAsia="Calibri" w:cs="Times New Roman"/>
                <w:szCs w:val="24"/>
                <w:lang w:eastAsia="ru-RU"/>
              </w:rPr>
              <w:t>Анисимов, П.С. Высокоскоростные железнодорожные магистрали и пассажирские поезда. [Электронный ресурс] / П.С. Анисимов, А.А. Иванов. — Электрон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>.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>д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>ан. — М.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: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УМЦ ЖДТ, 2011. — 542 с. — Режим доступа: http://e.lanbook.com/book/35744 — </w:t>
            </w:r>
            <w:proofErr w:type="spellStart"/>
            <w:r w:rsidRPr="000351F1">
              <w:rPr>
                <w:rFonts w:eastAsia="Calibri" w:cs="Times New Roman"/>
                <w:szCs w:val="24"/>
                <w:lang w:eastAsia="ru-RU"/>
              </w:rPr>
              <w:t>Загл</w:t>
            </w:r>
            <w:proofErr w:type="spellEnd"/>
            <w:r w:rsidRPr="000351F1">
              <w:rPr>
                <w:rFonts w:eastAsia="Calibri" w:cs="Times New Roman"/>
                <w:szCs w:val="24"/>
                <w:lang w:eastAsia="ru-RU"/>
              </w:rPr>
              <w:t>. с экрана.</w:t>
            </w:r>
          </w:p>
          <w:p w:rsidR="001C54CF" w:rsidRDefault="000351F1" w:rsidP="000351F1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0351F1">
              <w:rPr>
                <w:rFonts w:eastAsia="Calibri" w:cs="Times New Roman"/>
                <w:szCs w:val="24"/>
                <w:lang w:eastAsia="ru-RU"/>
              </w:rPr>
              <w:t>Кантор, И.И. Высокоскоростные железнодорожные магистрали. [Электронный ресурс] — Электрон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>.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>д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>ан. — М.</w:t>
            </w:r>
            <w:proofErr w:type="gramStart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:</w:t>
            </w:r>
            <w:proofErr w:type="gramEnd"/>
            <w:r w:rsidRPr="000351F1">
              <w:rPr>
                <w:rFonts w:eastAsia="Calibri" w:cs="Times New Roman"/>
                <w:szCs w:val="24"/>
                <w:lang w:eastAsia="ru-RU"/>
              </w:rPr>
              <w:t xml:space="preserve"> УМЦ ЖДТ, 2004. — 51 с. — Режим доступа: http://e.lanbook.com/book/59057 — </w:t>
            </w:r>
            <w:proofErr w:type="spellStart"/>
            <w:r w:rsidRPr="000351F1">
              <w:rPr>
                <w:rFonts w:eastAsia="Calibri" w:cs="Times New Roman"/>
                <w:szCs w:val="24"/>
                <w:lang w:eastAsia="ru-RU"/>
              </w:rPr>
              <w:t>Загл</w:t>
            </w:r>
            <w:proofErr w:type="spellEnd"/>
            <w:r w:rsidRPr="000351F1">
              <w:rPr>
                <w:rFonts w:eastAsia="Calibri" w:cs="Times New Roman"/>
                <w:szCs w:val="24"/>
                <w:lang w:eastAsia="ru-RU"/>
              </w:rPr>
              <w:t>. с экрана.</w:t>
            </w:r>
          </w:p>
          <w:p w:rsidR="00AF50E5" w:rsidRPr="00AF50E5" w:rsidRDefault="00AF50E5" w:rsidP="00AF50E5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AF50E5">
              <w:rPr>
                <w:rFonts w:eastAsia="Calibri" w:cs="Times New Roman"/>
                <w:szCs w:val="24"/>
                <w:lang w:eastAsia="ru-RU"/>
              </w:rPr>
              <w:t>Технический регламент «О безопасности высокоскоростного железнодорожного транспорта» (</w:t>
            </w:r>
            <w:proofErr w:type="gramStart"/>
            <w:r w:rsidRPr="00AF50E5">
              <w:rPr>
                <w:rFonts w:eastAsia="Calibri" w:cs="Times New Roman"/>
                <w:szCs w:val="24"/>
                <w:lang w:eastAsia="ru-RU"/>
              </w:rPr>
              <w:t>ТР</w:t>
            </w:r>
            <w:proofErr w:type="gramEnd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 ТС 002/2011) [Электронный ресурс]. – </w:t>
            </w:r>
            <w:proofErr w:type="gramStart"/>
            <w:r w:rsidRPr="00AF50E5">
              <w:rPr>
                <w:rFonts w:eastAsia="Calibri" w:cs="Times New Roman"/>
                <w:szCs w:val="24"/>
                <w:lang w:eastAsia="ru-RU"/>
              </w:rPr>
              <w:t>Утвержден</w:t>
            </w:r>
            <w:proofErr w:type="gramEnd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 решением Комиссии Таможенного союза от 15.07.2011, №710.– Режим доступа: http://docs.cntd.ru/document/902293437, свободный.</w:t>
            </w:r>
          </w:p>
          <w:p w:rsidR="00AF50E5" w:rsidRDefault="00AF50E5" w:rsidP="00AF50E5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Специальные технические условия №1 – №15 для проектирования и строительства участка Москва – Казань высокоскоростной железнодорожной магистрали Москва – Казань – Екатеринбург со скоростями движения до 400 км/ч. Изменение №1 [Электронный ресурс]. – </w:t>
            </w:r>
            <w:proofErr w:type="spellStart"/>
            <w:r w:rsidRPr="00AF50E5">
              <w:rPr>
                <w:rFonts w:eastAsia="Calibri" w:cs="Times New Roman"/>
                <w:szCs w:val="24"/>
                <w:lang w:eastAsia="ru-RU"/>
              </w:rPr>
              <w:t>Введ</w:t>
            </w:r>
            <w:proofErr w:type="spellEnd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. 2016-08-03. – </w:t>
            </w:r>
            <w:r w:rsidRPr="00AF50E5">
              <w:rPr>
                <w:rFonts w:eastAsia="Calibri" w:cs="Times New Roman"/>
                <w:szCs w:val="24"/>
                <w:lang w:eastAsia="ru-RU"/>
              </w:rPr>
              <w:lastRenderedPageBreak/>
              <w:t>Режим доступа: http://www.hsrail.ru/info/techdocs/, свободный.</w:t>
            </w:r>
          </w:p>
          <w:p w:rsidR="00AF50E5" w:rsidRPr="00AF50E5" w:rsidRDefault="00AF50E5" w:rsidP="00AF50E5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AF50E5">
              <w:rPr>
                <w:rFonts w:eastAsia="Calibri" w:cs="Times New Roman"/>
                <w:szCs w:val="24"/>
                <w:lang w:eastAsia="ru-RU"/>
              </w:rPr>
              <w:t>Скоростной и высокоскоростной железнодорожный транспорт. Сооружения и устройства. Подвижной состав. Организация перевозок. Т</w:t>
            </w:r>
            <w:proofErr w:type="gramStart"/>
            <w:r w:rsidRPr="00AF50E5">
              <w:rPr>
                <w:rFonts w:eastAsia="Calibri" w:cs="Times New Roman"/>
                <w:szCs w:val="24"/>
                <w:lang w:eastAsia="ru-RU"/>
              </w:rPr>
              <w:t>2</w:t>
            </w:r>
            <w:proofErr w:type="gramEnd"/>
            <w:r w:rsidRPr="00AF50E5">
              <w:rPr>
                <w:rFonts w:eastAsia="Calibri" w:cs="Times New Roman"/>
                <w:szCs w:val="24"/>
                <w:lang w:eastAsia="ru-RU"/>
              </w:rPr>
              <w:t>. –СПб</w:t>
            </w:r>
            <w:proofErr w:type="gramStart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.: </w:t>
            </w:r>
            <w:proofErr w:type="gramEnd"/>
            <w:r w:rsidRPr="00AF50E5">
              <w:rPr>
                <w:rFonts w:eastAsia="Calibri" w:cs="Times New Roman"/>
                <w:szCs w:val="24"/>
                <w:lang w:eastAsia="ru-RU"/>
              </w:rPr>
              <w:t>Издательство «Информационный центр «Выбор», 2003. – 448 с.</w:t>
            </w:r>
          </w:p>
          <w:p w:rsidR="00AF50E5" w:rsidRPr="0072772F" w:rsidRDefault="00AF50E5" w:rsidP="00AF50E5">
            <w:pPr>
              <w:pStyle w:val="a6"/>
              <w:numPr>
                <w:ilvl w:val="0"/>
                <w:numId w:val="1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eastAsia="Calibri" w:cs="Times New Roman"/>
                <w:szCs w:val="24"/>
                <w:lang w:eastAsia="ru-RU"/>
              </w:rPr>
            </w:pPr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Токосъем и тяговое электроснабжение при высокоскоростном движении на постоянном токе: Сб. </w:t>
            </w:r>
            <w:proofErr w:type="spellStart"/>
            <w:r w:rsidRPr="00AF50E5">
              <w:rPr>
                <w:rFonts w:eastAsia="Calibri" w:cs="Times New Roman"/>
                <w:szCs w:val="24"/>
                <w:lang w:eastAsia="ru-RU"/>
              </w:rPr>
              <w:t>научн</w:t>
            </w:r>
            <w:proofErr w:type="spellEnd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. трудов ОАО «ВНИИЖТ» / Под ред. Н.В. </w:t>
            </w:r>
            <w:proofErr w:type="spellStart"/>
            <w:r w:rsidRPr="00AF50E5">
              <w:rPr>
                <w:rFonts w:eastAsia="Calibri" w:cs="Times New Roman"/>
                <w:szCs w:val="24"/>
                <w:lang w:eastAsia="ru-RU"/>
              </w:rPr>
              <w:t>Мироноса</w:t>
            </w:r>
            <w:proofErr w:type="spellEnd"/>
            <w:r w:rsidRPr="00AF50E5">
              <w:rPr>
                <w:rFonts w:eastAsia="Calibri" w:cs="Times New Roman"/>
                <w:szCs w:val="24"/>
                <w:lang w:eastAsia="ru-RU"/>
              </w:rPr>
              <w:t xml:space="preserve">, П.Г. Тюрина. – М.: </w:t>
            </w:r>
            <w:proofErr w:type="spellStart"/>
            <w:r w:rsidRPr="00AF50E5">
              <w:rPr>
                <w:rFonts w:eastAsia="Calibri" w:cs="Times New Roman"/>
                <w:szCs w:val="24"/>
                <w:lang w:eastAsia="ru-RU"/>
              </w:rPr>
              <w:t>Интекст</w:t>
            </w:r>
            <w:proofErr w:type="spellEnd"/>
            <w:r w:rsidRPr="00AF50E5">
              <w:rPr>
                <w:rFonts w:eastAsia="Calibri" w:cs="Times New Roman"/>
                <w:szCs w:val="24"/>
                <w:lang w:eastAsia="ru-RU"/>
              </w:rPr>
              <w:t>, 2010.–192 с.</w:t>
            </w:r>
          </w:p>
        </w:tc>
      </w:tr>
      <w:tr w:rsidR="004C4B07" w:rsidRPr="004C4B07" w:rsidTr="000351F1">
        <w:trPr>
          <w:trHeight w:val="866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Нормативные требования</w:t>
            </w:r>
          </w:p>
        </w:tc>
        <w:tc>
          <w:tcPr>
            <w:tcW w:w="2648" w:type="pct"/>
            <w:vMerge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</w:tr>
      <w:tr w:rsidR="004C4B07" w:rsidRPr="004C4B07" w:rsidTr="000351F1">
        <w:trPr>
          <w:trHeight w:val="866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Выбор трассы ВСМ</w:t>
            </w:r>
          </w:p>
        </w:tc>
        <w:tc>
          <w:tcPr>
            <w:tcW w:w="2648" w:type="pct"/>
            <w:vMerge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</w:tr>
      <w:tr w:rsidR="004C4B07" w:rsidRPr="004C4B07" w:rsidTr="000351F1">
        <w:trPr>
          <w:trHeight w:val="865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Инфраструктура ВСМ</w:t>
            </w:r>
          </w:p>
        </w:tc>
        <w:tc>
          <w:tcPr>
            <w:tcW w:w="2648" w:type="pct"/>
            <w:vMerge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</w:tr>
      <w:tr w:rsidR="004C4B07" w:rsidRPr="004C4B07" w:rsidTr="000351F1">
        <w:trPr>
          <w:trHeight w:val="866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Подвижной состав ВСМ</w:t>
            </w:r>
          </w:p>
        </w:tc>
        <w:tc>
          <w:tcPr>
            <w:tcW w:w="2648" w:type="pct"/>
            <w:vMerge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</w:tr>
      <w:tr w:rsidR="004C4B07" w:rsidRPr="004C4B07" w:rsidTr="000351F1">
        <w:trPr>
          <w:trHeight w:val="866"/>
        </w:trPr>
        <w:tc>
          <w:tcPr>
            <w:tcW w:w="357" w:type="pct"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1995" w:type="pct"/>
            <w:vAlign w:val="center"/>
          </w:tcPr>
          <w:p w:rsidR="004C4B07" w:rsidRPr="004C4B07" w:rsidRDefault="004C4B07" w:rsidP="004C4B07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4C4B07">
              <w:rPr>
                <w:rFonts w:eastAsia="Calibri" w:cs="Times New Roman"/>
                <w:szCs w:val="24"/>
                <w:lang w:eastAsia="ru-RU"/>
              </w:rPr>
              <w:t>Перспективные виды высокоскоростного транспорта</w:t>
            </w:r>
          </w:p>
        </w:tc>
        <w:tc>
          <w:tcPr>
            <w:tcW w:w="2648" w:type="pct"/>
            <w:vMerge/>
            <w:vAlign w:val="center"/>
          </w:tcPr>
          <w:p w:rsidR="004C4B07" w:rsidRPr="004C4B07" w:rsidRDefault="004C4B07" w:rsidP="004C4B0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Calibri" w:cs="Times New Roman"/>
          <w:sz w:val="28"/>
          <w:szCs w:val="28"/>
          <w:lang w:eastAsia="ru-RU"/>
        </w:rPr>
        <w:t>8.1 Перечень основной учебной литературы, необходимой для освоения дисциплины:</w:t>
      </w:r>
    </w:p>
    <w:p w:rsidR="009A3D84" w:rsidRPr="009A3D84" w:rsidRDefault="009A3D84" w:rsidP="009A3D8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1. </w:t>
      </w:r>
      <w:r w:rsidRPr="009A3D84">
        <w:rPr>
          <w:rFonts w:eastAsia="Calibri" w:cs="Times New Roman"/>
          <w:sz w:val="28"/>
          <w:szCs w:val="28"/>
          <w:lang w:eastAsia="ru-RU"/>
        </w:rPr>
        <w:t>Высокоскоростной железнодорожный транспорт. Общий курс: учеб</w:t>
      </w:r>
      <w:proofErr w:type="gramStart"/>
      <w:r w:rsidRPr="009A3D84">
        <w:rPr>
          <w:rFonts w:eastAsia="Calibri" w:cs="Times New Roman"/>
          <w:sz w:val="28"/>
          <w:szCs w:val="28"/>
          <w:lang w:eastAsia="ru-RU"/>
        </w:rPr>
        <w:t>.</w:t>
      </w:r>
      <w:proofErr w:type="gramEnd"/>
      <w:r w:rsidRPr="009A3D84">
        <w:rPr>
          <w:rFonts w:eastAsia="Calibri" w:cs="Times New Roman"/>
          <w:sz w:val="28"/>
          <w:szCs w:val="28"/>
          <w:lang w:eastAsia="ru-RU"/>
        </w:rPr>
        <w:t xml:space="preserve"> </w:t>
      </w:r>
      <w:proofErr w:type="gramStart"/>
      <w:r w:rsidRPr="009A3D84">
        <w:rPr>
          <w:rFonts w:eastAsia="Calibri" w:cs="Times New Roman"/>
          <w:sz w:val="28"/>
          <w:szCs w:val="28"/>
          <w:lang w:eastAsia="ru-RU"/>
        </w:rPr>
        <w:t>п</w:t>
      </w:r>
      <w:proofErr w:type="gramEnd"/>
      <w:r w:rsidRPr="009A3D84">
        <w:rPr>
          <w:rFonts w:eastAsia="Calibri" w:cs="Times New Roman"/>
          <w:sz w:val="28"/>
          <w:szCs w:val="28"/>
          <w:lang w:eastAsia="ru-RU"/>
        </w:rPr>
        <w:t>особие: в 2 т. / И.П. Киселёв и др.; под ред. И.П. Киселева.– М.: ФГБОУ «Учебно-методический центр по образованию на железнодорожном транспорте», 2014, Т.1. – 308 с.; Т</w:t>
      </w:r>
      <w:proofErr w:type="gramStart"/>
      <w:r w:rsidRPr="009A3D84">
        <w:rPr>
          <w:rFonts w:eastAsia="Calibri" w:cs="Times New Roman"/>
          <w:sz w:val="28"/>
          <w:szCs w:val="28"/>
          <w:lang w:eastAsia="ru-RU"/>
        </w:rPr>
        <w:t>2</w:t>
      </w:r>
      <w:proofErr w:type="gramEnd"/>
      <w:r w:rsidRPr="009A3D84">
        <w:rPr>
          <w:rFonts w:eastAsia="Calibri" w:cs="Times New Roman"/>
          <w:sz w:val="28"/>
          <w:szCs w:val="28"/>
          <w:lang w:eastAsia="ru-RU"/>
        </w:rPr>
        <w:t>. – 372 с.</w:t>
      </w: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Calibri" w:cs="Times New Roman"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дисциплины:</w:t>
      </w:r>
    </w:p>
    <w:p w:rsidR="00935BD7" w:rsidRDefault="00935BD7" w:rsidP="00935BD7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1</w:t>
      </w:r>
      <w:r w:rsidRPr="00633E5E">
        <w:rPr>
          <w:rFonts w:eastAsia="Calibri" w:cs="Times New Roman"/>
          <w:sz w:val="28"/>
          <w:szCs w:val="28"/>
          <w:lang w:eastAsia="ru-RU"/>
        </w:rPr>
        <w:t>. Анисимов, П.С. Высокоскоростные железнодорожные магистрали и пассажирские поезда. [Электронный ресурс] / П.С. Анисимов, А.А. Иванов. — Электрон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.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д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>ан. — М.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 xml:space="preserve"> :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УМЦ ЖДТ, 2011. — 542 с. — Режим доступа: http://e.lanbook.com/book/35744 — </w:t>
      </w:r>
      <w:proofErr w:type="spellStart"/>
      <w:r w:rsidRPr="00633E5E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633E5E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935BD7" w:rsidRPr="00633E5E" w:rsidRDefault="00935BD7" w:rsidP="00935BD7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2. </w:t>
      </w:r>
      <w:r w:rsidRPr="00633E5E">
        <w:rPr>
          <w:rFonts w:eastAsia="Calibri" w:cs="Times New Roman"/>
          <w:sz w:val="28"/>
          <w:szCs w:val="28"/>
          <w:lang w:eastAsia="ru-RU"/>
        </w:rPr>
        <w:t>Кантор, И.И. Высокоскоростные железнодорожные магистрали. [Электронный ресурс] — Электрон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.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д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>ан. — М.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 xml:space="preserve"> :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УМЦ ЖДТ, 2004. — 51 с. — Режим доступа: http://e.lanbook.com/book/59057 — </w:t>
      </w:r>
      <w:proofErr w:type="spellStart"/>
      <w:r w:rsidRPr="00633E5E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633E5E">
        <w:rPr>
          <w:rFonts w:eastAsia="Calibri" w:cs="Times New Roman"/>
          <w:sz w:val="28"/>
          <w:szCs w:val="28"/>
          <w:lang w:eastAsia="ru-RU"/>
        </w:rPr>
        <w:t xml:space="preserve">. с экрана. </w:t>
      </w:r>
    </w:p>
    <w:p w:rsidR="00935BD7" w:rsidRPr="00633E5E" w:rsidRDefault="00935BD7" w:rsidP="00935BD7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506DD">
        <w:rPr>
          <w:rFonts w:eastAsia="Calibri" w:cs="Times New Roman"/>
          <w:sz w:val="28"/>
          <w:szCs w:val="28"/>
          <w:lang w:eastAsia="ru-RU"/>
        </w:rPr>
        <w:t xml:space="preserve">3. </w:t>
      </w:r>
      <w:r w:rsidRPr="00633E5E">
        <w:rPr>
          <w:rFonts w:eastAsia="Calibri" w:cs="Times New Roman"/>
          <w:sz w:val="28"/>
          <w:szCs w:val="28"/>
          <w:lang w:eastAsia="ru-RU"/>
        </w:rPr>
        <w:t>Устройство и эксплуатация высокоскоростного наземного транспорта. [Электронный ресурс] — Электрон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.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>д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>ан. — М.</w:t>
      </w:r>
      <w:proofErr w:type="gramStart"/>
      <w:r w:rsidRPr="00633E5E">
        <w:rPr>
          <w:rFonts w:eastAsia="Calibri" w:cs="Times New Roman"/>
          <w:sz w:val="28"/>
          <w:szCs w:val="28"/>
          <w:lang w:eastAsia="ru-RU"/>
        </w:rPr>
        <w:t xml:space="preserve"> :</w:t>
      </w:r>
      <w:proofErr w:type="gramEnd"/>
      <w:r w:rsidRPr="00633E5E">
        <w:rPr>
          <w:rFonts w:eastAsia="Calibri" w:cs="Times New Roman"/>
          <w:sz w:val="28"/>
          <w:szCs w:val="28"/>
          <w:lang w:eastAsia="ru-RU"/>
        </w:rPr>
        <w:t xml:space="preserve"> УМЦ ЖДТ, 2014. — 267 с. — Режим доступа: http://e.lanbook.com/book/55408 — </w:t>
      </w:r>
      <w:proofErr w:type="spellStart"/>
      <w:r w:rsidRPr="00633E5E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633E5E">
        <w:rPr>
          <w:rFonts w:eastAsia="Calibri" w:cs="Times New Roman"/>
          <w:sz w:val="28"/>
          <w:szCs w:val="28"/>
          <w:lang w:eastAsia="ru-RU"/>
        </w:rPr>
        <w:t xml:space="preserve">. с экрана. </w:t>
      </w: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Pr="00603C14">
        <w:rPr>
          <w:rFonts w:eastAsia="Calibri" w:cs="Times New Roman"/>
          <w:sz w:val="28"/>
          <w:szCs w:val="28"/>
          <w:lang w:eastAsia="ru-RU"/>
        </w:rPr>
        <w:t>:</w:t>
      </w: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Calibri" w:cs="Times New Roman"/>
          <w:sz w:val="28"/>
          <w:szCs w:val="28"/>
          <w:lang w:eastAsia="ru-RU"/>
        </w:rPr>
        <w:lastRenderedPageBreak/>
        <w:t xml:space="preserve">1. </w:t>
      </w:r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>Технический регламент «О безопасности высокоскоростного железнодорожного транспорта» (</w:t>
      </w:r>
      <w:proofErr w:type="gramStart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 xml:space="preserve"> ТС 002/2011) [Электронный ресурс]. – </w:t>
      </w:r>
      <w:proofErr w:type="gramStart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>Утвержден</w:t>
      </w:r>
      <w:proofErr w:type="gramEnd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 xml:space="preserve"> решением Комиссии Таможенного союза от 15.07.2011, №710.– Режим доступа: http://docs.cntd.ru/document/902293437, свободный.</w:t>
      </w: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Calibri" w:cs="Times New Roman"/>
          <w:sz w:val="28"/>
          <w:szCs w:val="28"/>
          <w:lang w:eastAsia="ru-RU"/>
        </w:rPr>
        <w:t>2. Специальные технические условия №1 – №15 для проектирования и строительства участка Москва – Казань высокоскоростной железнодорожной магистрали Москва – Казань – Екатеринбург со скоростями движения до 400 км/ч</w:t>
      </w:r>
      <w:r w:rsidR="0072772F">
        <w:rPr>
          <w:rFonts w:eastAsia="Calibri" w:cs="Times New Roman"/>
          <w:sz w:val="28"/>
          <w:szCs w:val="28"/>
          <w:lang w:eastAsia="ru-RU"/>
        </w:rPr>
        <w:t xml:space="preserve">. Изменение №1 </w:t>
      </w:r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 xml:space="preserve">[Электронный ресурс]. – </w:t>
      </w:r>
      <w:proofErr w:type="spellStart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>Введ</w:t>
      </w:r>
      <w:proofErr w:type="spellEnd"/>
      <w:r w:rsidR="0072772F" w:rsidRPr="0072772F">
        <w:rPr>
          <w:rFonts w:eastAsia="Calibri" w:cs="Times New Roman"/>
          <w:bCs/>
          <w:sz w:val="28"/>
          <w:szCs w:val="28"/>
          <w:lang w:eastAsia="ru-RU"/>
        </w:rPr>
        <w:t>. 2016-08-03. – Режим доступа: http://www.hsrail.ru/info/techdocs/, свободный.</w:t>
      </w:r>
    </w:p>
    <w:p w:rsid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603C14">
        <w:rPr>
          <w:rFonts w:eastAsia="Calibri" w:cs="Times New Roman"/>
          <w:sz w:val="28"/>
          <w:szCs w:val="28"/>
          <w:lang w:eastAsia="ru-RU"/>
        </w:rPr>
        <w:t xml:space="preserve">8.4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  <w:r w:rsidRPr="00603C14">
        <w:rPr>
          <w:rFonts w:eastAsia="Calibri" w:cs="Times New Roman"/>
          <w:sz w:val="28"/>
          <w:szCs w:val="28"/>
          <w:lang w:eastAsia="ru-RU"/>
        </w:rPr>
        <w:t>:</w:t>
      </w:r>
    </w:p>
    <w:p w:rsidR="00603C14" w:rsidRPr="00603C14" w:rsidRDefault="00603C14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1</w:t>
      </w:r>
      <w:r w:rsidRPr="00603C14">
        <w:rPr>
          <w:rFonts w:eastAsia="Calibri" w:cs="Times New Roman"/>
          <w:sz w:val="28"/>
          <w:szCs w:val="28"/>
          <w:lang w:eastAsia="ru-RU"/>
        </w:rPr>
        <w:t>. Скоростной и высокоскоростной железнодорожный транспорт. Сооружения и устройства. Подвижной состав. Организация перевозок. Т</w:t>
      </w:r>
      <w:proofErr w:type="gramStart"/>
      <w:r w:rsidRPr="00603C14">
        <w:rPr>
          <w:rFonts w:eastAsia="Calibri" w:cs="Times New Roman"/>
          <w:sz w:val="28"/>
          <w:szCs w:val="28"/>
          <w:lang w:eastAsia="ru-RU"/>
        </w:rPr>
        <w:t>2</w:t>
      </w:r>
      <w:proofErr w:type="gramEnd"/>
      <w:r w:rsidRPr="00603C14">
        <w:rPr>
          <w:rFonts w:eastAsia="Calibri" w:cs="Times New Roman"/>
          <w:sz w:val="28"/>
          <w:szCs w:val="28"/>
          <w:lang w:eastAsia="ru-RU"/>
        </w:rPr>
        <w:t>. –СПб</w:t>
      </w:r>
      <w:proofErr w:type="gramStart"/>
      <w:r w:rsidRPr="00603C14">
        <w:rPr>
          <w:rFonts w:eastAsia="Calibri" w:cs="Times New Roman"/>
          <w:sz w:val="28"/>
          <w:szCs w:val="28"/>
          <w:lang w:eastAsia="ru-RU"/>
        </w:rPr>
        <w:t xml:space="preserve">.: </w:t>
      </w:r>
      <w:proofErr w:type="gramEnd"/>
      <w:r w:rsidRPr="00603C14">
        <w:rPr>
          <w:rFonts w:eastAsia="Calibri" w:cs="Times New Roman"/>
          <w:sz w:val="28"/>
          <w:szCs w:val="28"/>
          <w:lang w:eastAsia="ru-RU"/>
        </w:rPr>
        <w:t>Издательство «Инф</w:t>
      </w:r>
      <w:r>
        <w:rPr>
          <w:rFonts w:eastAsia="Calibri" w:cs="Times New Roman"/>
          <w:sz w:val="28"/>
          <w:szCs w:val="28"/>
          <w:lang w:eastAsia="ru-RU"/>
        </w:rPr>
        <w:t xml:space="preserve">ормационный центр «Выбор», 2003. </w:t>
      </w:r>
      <w:r w:rsidRPr="00603C14">
        <w:rPr>
          <w:rFonts w:eastAsia="Calibri" w:cs="Times New Roman"/>
          <w:sz w:val="28"/>
          <w:szCs w:val="28"/>
          <w:lang w:eastAsia="ru-RU"/>
        </w:rPr>
        <w:t>–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="001C54CF">
        <w:rPr>
          <w:rFonts w:eastAsia="Calibri" w:cs="Times New Roman"/>
          <w:sz w:val="28"/>
          <w:szCs w:val="28"/>
          <w:lang w:eastAsia="ru-RU"/>
        </w:rPr>
        <w:t>448 с.</w:t>
      </w:r>
    </w:p>
    <w:p w:rsidR="00603C14" w:rsidRPr="00603C14" w:rsidRDefault="001C54CF" w:rsidP="00603C14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2</w:t>
      </w:r>
      <w:r w:rsidR="00603C14" w:rsidRPr="00603C14">
        <w:rPr>
          <w:rFonts w:eastAsia="Calibri" w:cs="Times New Roman"/>
          <w:sz w:val="28"/>
          <w:szCs w:val="28"/>
          <w:lang w:eastAsia="ru-RU"/>
        </w:rPr>
        <w:t xml:space="preserve">. Токосъем и тяговое электроснабжение при высокоскоростном движении на постоянном токе: Сб. </w:t>
      </w:r>
      <w:proofErr w:type="spellStart"/>
      <w:r w:rsidR="00603C14" w:rsidRPr="00603C14">
        <w:rPr>
          <w:rFonts w:eastAsia="Calibri" w:cs="Times New Roman"/>
          <w:sz w:val="28"/>
          <w:szCs w:val="28"/>
          <w:lang w:eastAsia="ru-RU"/>
        </w:rPr>
        <w:t>научн</w:t>
      </w:r>
      <w:proofErr w:type="spellEnd"/>
      <w:r w:rsidR="00603C14" w:rsidRPr="00603C14">
        <w:rPr>
          <w:rFonts w:eastAsia="Calibri" w:cs="Times New Roman"/>
          <w:sz w:val="28"/>
          <w:szCs w:val="28"/>
          <w:lang w:eastAsia="ru-RU"/>
        </w:rPr>
        <w:t>. трудов ОАО «ВНИИЖТ» / Под ред. Н.В. </w:t>
      </w:r>
      <w:proofErr w:type="spellStart"/>
      <w:r w:rsidR="00603C14" w:rsidRPr="00603C14">
        <w:rPr>
          <w:rFonts w:eastAsia="Calibri" w:cs="Times New Roman"/>
          <w:sz w:val="28"/>
          <w:szCs w:val="28"/>
          <w:lang w:eastAsia="ru-RU"/>
        </w:rPr>
        <w:t>Мироноса</w:t>
      </w:r>
      <w:proofErr w:type="spellEnd"/>
      <w:r w:rsidR="00603C14" w:rsidRPr="00603C14">
        <w:rPr>
          <w:rFonts w:eastAsia="Calibri" w:cs="Times New Roman"/>
          <w:sz w:val="28"/>
          <w:szCs w:val="28"/>
          <w:lang w:eastAsia="ru-RU"/>
        </w:rPr>
        <w:t>, П.Г. Тюрина. –</w:t>
      </w:r>
      <w:r w:rsidR="00603C14">
        <w:rPr>
          <w:rFonts w:eastAsia="Calibri" w:cs="Times New Roman"/>
          <w:sz w:val="28"/>
          <w:szCs w:val="28"/>
          <w:lang w:eastAsia="ru-RU"/>
        </w:rPr>
        <w:t xml:space="preserve"> </w:t>
      </w:r>
      <w:r w:rsidR="00603C14" w:rsidRPr="00603C14">
        <w:rPr>
          <w:rFonts w:eastAsia="Calibri" w:cs="Times New Roman"/>
          <w:sz w:val="28"/>
          <w:szCs w:val="28"/>
          <w:lang w:eastAsia="ru-RU"/>
        </w:rPr>
        <w:t xml:space="preserve">М.: </w:t>
      </w:r>
      <w:proofErr w:type="spellStart"/>
      <w:r w:rsidR="00603C14" w:rsidRPr="00603C14">
        <w:rPr>
          <w:rFonts w:eastAsia="Calibri" w:cs="Times New Roman"/>
          <w:sz w:val="28"/>
          <w:szCs w:val="28"/>
          <w:lang w:eastAsia="ru-RU"/>
        </w:rPr>
        <w:t>Интекст</w:t>
      </w:r>
      <w:proofErr w:type="spellEnd"/>
      <w:r w:rsidR="00603C14" w:rsidRPr="00603C14">
        <w:rPr>
          <w:rFonts w:eastAsia="Calibri" w:cs="Times New Roman"/>
          <w:sz w:val="28"/>
          <w:szCs w:val="28"/>
          <w:lang w:eastAsia="ru-RU"/>
        </w:rPr>
        <w:t>, 2010.–192 с.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F00FA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C3BF9" w:rsidRDefault="00CC3BF9" w:rsidP="00CC3BF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CC3BF9" w:rsidRDefault="00CC3BF9" w:rsidP="00CC3BF9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>
          <w:rPr>
            <w:rStyle w:val="a3"/>
            <w:bCs/>
            <w:sz w:val="28"/>
            <w:szCs w:val="28"/>
          </w:rPr>
          <w:t>http://window.edu.ru</w:t>
        </w:r>
      </w:hyperlink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17182" w:rsidRPr="009B0DF6" w:rsidRDefault="00917182" w:rsidP="00917182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7182" w:rsidRPr="009B0DF6" w:rsidRDefault="00917182" w:rsidP="00917182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17182" w:rsidRPr="009B0DF6" w:rsidRDefault="00917182" w:rsidP="00917182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917182" w:rsidRPr="009B0DF6" w:rsidRDefault="00917182" w:rsidP="00917182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917182" w:rsidRPr="009B0DF6" w:rsidRDefault="00917182" w:rsidP="00917182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917182" w:rsidRPr="009B0DF6" w:rsidRDefault="00917182" w:rsidP="00917182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917182" w:rsidRPr="00104973" w:rsidRDefault="00917182" w:rsidP="0091718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17182" w:rsidRPr="009B0DF6" w:rsidRDefault="00917182" w:rsidP="00917182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17182" w:rsidRPr="009B0DF6" w:rsidRDefault="00917182" w:rsidP="00917182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917182" w:rsidRPr="009B0DF6" w:rsidRDefault="00917182" w:rsidP="00917182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917182" w:rsidRPr="009B0DF6" w:rsidRDefault="00917182" w:rsidP="00917182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занятий семинарского (практического) типа, 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917182" w:rsidRPr="009B0DF6" w:rsidRDefault="00917182" w:rsidP="00917182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917182" w:rsidRPr="009B0DF6" w:rsidRDefault="00917182" w:rsidP="00917182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>– помещения для проведения текущего контроля и промежуточной аттестации;</w:t>
      </w:r>
    </w:p>
    <w:p w:rsidR="00917182" w:rsidRDefault="00917182" w:rsidP="00917182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917182" w:rsidRDefault="00917182" w:rsidP="00917182">
      <w:pPr>
        <w:spacing w:after="0"/>
        <w:jc w:val="both"/>
        <w:rPr>
          <w:rFonts w:eastAsia="Times New Roman"/>
          <w:bCs/>
          <w:sz w:val="28"/>
        </w:rPr>
      </w:pPr>
    </w:p>
    <w:p w:rsidR="00917182" w:rsidRPr="00CA0D82" w:rsidRDefault="00917182" w:rsidP="00917182">
      <w:pPr>
        <w:spacing w:after="0"/>
        <w:jc w:val="center"/>
        <w:rPr>
          <w:rFonts w:eastAsia="Times New Roman"/>
          <w:bCs/>
          <w:sz w:val="28"/>
          <w:szCs w:val="20"/>
        </w:rPr>
      </w:pPr>
      <w:r>
        <w:rPr>
          <w:rFonts w:eastAsia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7542530" cy="1428750"/>
            <wp:effectExtent l="0" t="0" r="1270" b="0"/>
            <wp:wrapThrough wrapText="bothSides">
              <wp:wrapPolygon edited="0">
                <wp:start x="0" y="0"/>
                <wp:lineTo x="0" y="21312"/>
                <wp:lineTo x="21549" y="21312"/>
                <wp:lineTo x="215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5" b="42166"/>
                    <a:stretch/>
                  </pic:blipFill>
                  <pic:spPr bwMode="auto">
                    <a:xfrm>
                      <a:off x="0" y="0"/>
                      <a:ext cx="754253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53" w:rsidRDefault="00165153" w:rsidP="00165153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eastAsia="Calibri" w:cs="Times New Roman"/>
          <w:bCs/>
          <w:sz w:val="28"/>
          <w:szCs w:val="28"/>
        </w:rPr>
        <w:sectPr w:rsidR="001651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492E" w:rsidRPr="00603C14" w:rsidRDefault="0070492E" w:rsidP="00165153">
      <w:pPr>
        <w:tabs>
          <w:tab w:val="left" w:pos="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</w:p>
    <w:sectPr w:rsidR="0070492E" w:rsidRPr="00603C14" w:rsidSect="0016515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653"/>
    <w:multiLevelType w:val="hybridMultilevel"/>
    <w:tmpl w:val="2C2A8E4A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E12"/>
    <w:multiLevelType w:val="hybridMultilevel"/>
    <w:tmpl w:val="055855A4"/>
    <w:lvl w:ilvl="0" w:tplc="8F3A31D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177C0D"/>
    <w:multiLevelType w:val="hybridMultilevel"/>
    <w:tmpl w:val="C52E2334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0603999"/>
    <w:multiLevelType w:val="hybridMultilevel"/>
    <w:tmpl w:val="3748266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A82240"/>
    <w:multiLevelType w:val="hybridMultilevel"/>
    <w:tmpl w:val="9A4CF87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581268A4"/>
    <w:multiLevelType w:val="hybridMultilevel"/>
    <w:tmpl w:val="44A60716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C3C02C4"/>
    <w:multiLevelType w:val="hybridMultilevel"/>
    <w:tmpl w:val="FDB47B6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9"/>
  </w:num>
  <w:num w:numId="2">
    <w:abstractNumId w:val="11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13"/>
  </w:num>
  <w:num w:numId="8">
    <w:abstractNumId w:val="9"/>
  </w:num>
  <w:num w:numId="9">
    <w:abstractNumId w:val="8"/>
  </w:num>
  <w:num w:numId="10">
    <w:abstractNumId w:val="6"/>
  </w:num>
  <w:num w:numId="11">
    <w:abstractNumId w:val="14"/>
  </w:num>
  <w:num w:numId="12">
    <w:abstractNumId w:val="4"/>
  </w:num>
  <w:num w:numId="13">
    <w:abstractNumId w:val="7"/>
  </w:num>
  <w:num w:numId="14">
    <w:abstractNumId w:val="1"/>
  </w:num>
  <w:num w:numId="15">
    <w:abstractNumId w:val="0"/>
  </w:num>
  <w:num w:numId="16">
    <w:abstractNumId w:val="18"/>
  </w:num>
  <w:num w:numId="17">
    <w:abstractNumId w:val="5"/>
  </w:num>
  <w:num w:numId="18">
    <w:abstractNumId w:val="20"/>
  </w:num>
  <w:num w:numId="19">
    <w:abstractNumId w:val="17"/>
  </w:num>
  <w:num w:numId="20">
    <w:abstractNumId w:val="15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FA"/>
    <w:rsid w:val="000309F2"/>
    <w:rsid w:val="000351F1"/>
    <w:rsid w:val="000C5E44"/>
    <w:rsid w:val="001272BD"/>
    <w:rsid w:val="00165153"/>
    <w:rsid w:val="001715F3"/>
    <w:rsid w:val="001C54CF"/>
    <w:rsid w:val="001D11B2"/>
    <w:rsid w:val="001F00FA"/>
    <w:rsid w:val="002631AC"/>
    <w:rsid w:val="003B42F3"/>
    <w:rsid w:val="004A4F08"/>
    <w:rsid w:val="004C4B07"/>
    <w:rsid w:val="00542EEF"/>
    <w:rsid w:val="00603C14"/>
    <w:rsid w:val="00635778"/>
    <w:rsid w:val="0070492E"/>
    <w:rsid w:val="0072772F"/>
    <w:rsid w:val="007A600F"/>
    <w:rsid w:val="008105B4"/>
    <w:rsid w:val="008811A7"/>
    <w:rsid w:val="00917182"/>
    <w:rsid w:val="00935BD7"/>
    <w:rsid w:val="00990ECE"/>
    <w:rsid w:val="009A3D84"/>
    <w:rsid w:val="009B203E"/>
    <w:rsid w:val="00A01250"/>
    <w:rsid w:val="00AF50E5"/>
    <w:rsid w:val="00BF753A"/>
    <w:rsid w:val="00C12CD2"/>
    <w:rsid w:val="00C13E69"/>
    <w:rsid w:val="00C568EB"/>
    <w:rsid w:val="00CC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1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77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1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7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VVS</dc:creator>
  <cp:lastModifiedBy>VVS</cp:lastModifiedBy>
  <cp:revision>7</cp:revision>
  <dcterms:created xsi:type="dcterms:W3CDTF">2017-04-04T12:15:00Z</dcterms:created>
  <dcterms:modified xsi:type="dcterms:W3CDTF">2017-11-02T10:55:00Z</dcterms:modified>
</cp:coreProperties>
</file>