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656B6">
        <w:rPr>
          <w:rFonts w:ascii="Times New Roman" w:hAnsi="Times New Roman" w:cs="Times New Roman"/>
          <w:sz w:val="24"/>
          <w:szCs w:val="24"/>
        </w:rPr>
        <w:t>Организация обеспечения безопасности движения и автоматические тормоза 2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83307C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D656B6">
        <w:rPr>
          <w:rFonts w:ascii="Times New Roman" w:hAnsi="Times New Roman" w:cs="Times New Roman"/>
          <w:sz w:val="24"/>
          <w:szCs w:val="24"/>
        </w:rPr>
        <w:t>Организация обеспечения безопасности движения и автоматические тормоза 2» (Б</w:t>
      </w:r>
      <w:proofErr w:type="gramStart"/>
      <w:r w:rsidR="00D656B6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D656B6">
        <w:rPr>
          <w:rFonts w:ascii="Times New Roman" w:hAnsi="Times New Roman" w:cs="Times New Roman"/>
          <w:sz w:val="24"/>
          <w:szCs w:val="24"/>
        </w:rPr>
        <w:t>46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656B6">
        <w:rPr>
          <w:rFonts w:ascii="Times New Roman" w:hAnsi="Times New Roman" w:cs="Times New Roman"/>
          <w:sz w:val="24"/>
          <w:szCs w:val="24"/>
        </w:rPr>
        <w:t>базовой части и является обязательной дисциплиной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656B6" w:rsidRPr="00D656B6" w:rsidRDefault="00D656B6" w:rsidP="00D656B6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D656B6">
        <w:rPr>
          <w:rFonts w:cs="Times New Roman"/>
          <w:sz w:val="24"/>
          <w:szCs w:val="24"/>
        </w:rPr>
        <w:t xml:space="preserve">Цель изучения дисциплины «Организация обеспечения безопасности движения и автоматические тормоза 2» состоит в </w:t>
      </w:r>
      <w:r w:rsidRPr="00D656B6">
        <w:rPr>
          <w:rFonts w:eastAsia="Times New Roman" w:cs="Times New Roman"/>
          <w:sz w:val="24"/>
          <w:szCs w:val="24"/>
        </w:rPr>
        <w:t>теоретической и практиче</w:t>
      </w:r>
      <w:r>
        <w:rPr>
          <w:rFonts w:eastAsia="Times New Roman" w:cs="Times New Roman"/>
          <w:sz w:val="24"/>
          <w:szCs w:val="24"/>
        </w:rPr>
        <w:t>ской подготовке</w:t>
      </w:r>
      <w:r w:rsidRPr="00D656B6">
        <w:rPr>
          <w:rFonts w:eastAsia="Times New Roman" w:cs="Times New Roman"/>
          <w:sz w:val="24"/>
          <w:szCs w:val="24"/>
        </w:rPr>
        <w:t xml:space="preserve"> студентов в области обеспечения безопасности движения и автоматических тормозов подвижного состава, приборам безопасности, применяемым на железных дорогах Российской Федерации</w:t>
      </w:r>
      <w:r w:rsidRPr="00D656B6">
        <w:rPr>
          <w:rFonts w:cs="Times New Roman"/>
          <w:sz w:val="24"/>
          <w:szCs w:val="24"/>
        </w:rPr>
        <w:t>.</w:t>
      </w:r>
    </w:p>
    <w:p w:rsidR="00D656B6" w:rsidRPr="00D656B6" w:rsidRDefault="00D656B6" w:rsidP="00D656B6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D656B6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D656B6" w:rsidRPr="00D656B6" w:rsidRDefault="00D656B6" w:rsidP="00D656B6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D656B6">
        <w:rPr>
          <w:szCs w:val="24"/>
        </w:rPr>
        <w:t>овладение студентами знаниями в области обеспечения безопасности движения и автоматических тормозов подвижного состава;</w:t>
      </w:r>
    </w:p>
    <w:p w:rsidR="00D656B6" w:rsidRPr="00D656B6" w:rsidRDefault="00D656B6" w:rsidP="00D656B6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D656B6">
        <w:rPr>
          <w:szCs w:val="24"/>
        </w:rPr>
        <w:t>овладение студентами знаний в области приборов безопасности, применяемых на железных дорогах Российской Федерации;</w:t>
      </w:r>
    </w:p>
    <w:p w:rsidR="00D656B6" w:rsidRPr="00D656B6" w:rsidRDefault="00D656B6" w:rsidP="00D656B6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D656B6">
        <w:rPr>
          <w:szCs w:val="24"/>
        </w:rPr>
        <w:t>овладение студентами знаний в области приборов автоведения, спутниковых навигационных систем.</w:t>
      </w:r>
    </w:p>
    <w:p w:rsidR="00D06585" w:rsidRPr="007E3C95" w:rsidRDefault="007E3C95" w:rsidP="00EB3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782211">
        <w:rPr>
          <w:rFonts w:ascii="Times New Roman" w:hAnsi="Times New Roman" w:cs="Times New Roman"/>
          <w:sz w:val="24"/>
          <w:szCs w:val="24"/>
        </w:rPr>
        <w:t>ПК-1, ПК-2, ПК-3, ПК-4.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2067B1" w:rsidRPr="002067B1" w:rsidRDefault="002067B1" w:rsidP="002067B1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7B1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2067B1">
        <w:rPr>
          <w:rFonts w:ascii="Times New Roman" w:hAnsi="Times New Roman" w:cs="Times New Roman"/>
          <w:bCs/>
          <w:sz w:val="24"/>
          <w:szCs w:val="24"/>
        </w:rPr>
        <w:t>:</w:t>
      </w:r>
    </w:p>
    <w:p w:rsidR="002067B1" w:rsidRPr="002067B1" w:rsidRDefault="002067B1" w:rsidP="002067B1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2067B1">
        <w:rPr>
          <w:szCs w:val="24"/>
        </w:rPr>
        <w:t>нормативно-технические документы по безопасности движения поездов; основные причины нарушения безопасности движения; работу приборов безопасности, автоведения и спутниковых систем навигации.</w:t>
      </w:r>
    </w:p>
    <w:p w:rsidR="002067B1" w:rsidRPr="002067B1" w:rsidRDefault="002067B1" w:rsidP="002067B1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7B1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2067B1">
        <w:rPr>
          <w:rFonts w:ascii="Times New Roman" w:hAnsi="Times New Roman" w:cs="Times New Roman"/>
          <w:bCs/>
          <w:sz w:val="24"/>
          <w:szCs w:val="24"/>
        </w:rPr>
        <w:t>:</w:t>
      </w:r>
    </w:p>
    <w:p w:rsidR="002067B1" w:rsidRPr="002067B1" w:rsidRDefault="002067B1" w:rsidP="002067B1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2067B1">
        <w:rPr>
          <w:szCs w:val="24"/>
        </w:rPr>
        <w:t>определять показатели безопасности движения, применять полученные данные для обеспечения работ систем безопасности, систем автоведения и спутниковых навигационных систем.</w:t>
      </w:r>
    </w:p>
    <w:p w:rsidR="002067B1" w:rsidRPr="002067B1" w:rsidRDefault="002067B1" w:rsidP="002067B1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7B1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2067B1">
        <w:rPr>
          <w:rFonts w:ascii="Times New Roman" w:hAnsi="Times New Roman" w:cs="Times New Roman"/>
          <w:bCs/>
          <w:sz w:val="24"/>
          <w:szCs w:val="24"/>
        </w:rPr>
        <w:t>:</w:t>
      </w:r>
    </w:p>
    <w:p w:rsidR="00C144A2" w:rsidRPr="002067B1" w:rsidRDefault="002067B1" w:rsidP="002067B1">
      <w:pPr>
        <w:pStyle w:val="a6"/>
        <w:numPr>
          <w:ilvl w:val="0"/>
          <w:numId w:val="19"/>
        </w:numPr>
        <w:tabs>
          <w:tab w:val="clear" w:pos="1778"/>
          <w:tab w:val="num" w:pos="1134"/>
          <w:tab w:val="num" w:pos="6598"/>
        </w:tabs>
        <w:ind w:left="0"/>
        <w:jc w:val="both"/>
        <w:rPr>
          <w:szCs w:val="24"/>
        </w:rPr>
      </w:pPr>
      <w:r w:rsidRPr="002067B1">
        <w:rPr>
          <w:szCs w:val="24"/>
        </w:rPr>
        <w:t>правилами технической эксплуатации железных дорог; методами обеспечения безопасности движения поездов; методами расчета показателей безопасности движения.</w:t>
      </w:r>
    </w:p>
    <w:p w:rsidR="00D06585" w:rsidRPr="00C144A2" w:rsidRDefault="007E3C95" w:rsidP="00C144A2">
      <w:pPr>
        <w:pStyle w:val="a6"/>
        <w:ind w:left="709" w:firstLine="0"/>
        <w:jc w:val="both"/>
        <w:rPr>
          <w:b/>
          <w:bCs/>
          <w:caps/>
        </w:rPr>
      </w:pPr>
      <w:r w:rsidRPr="00C144A2">
        <w:rPr>
          <w:b/>
          <w:szCs w:val="24"/>
        </w:rPr>
        <w:t xml:space="preserve">4. </w:t>
      </w:r>
      <w:r w:rsidR="00D06585" w:rsidRPr="00C144A2">
        <w:rPr>
          <w:b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2944"/>
        <w:gridCol w:w="5546"/>
      </w:tblGrid>
      <w:tr w:rsidR="002067B1" w:rsidRPr="002067B1" w:rsidTr="008E20F2">
        <w:trPr>
          <w:tblHeader/>
        </w:trPr>
        <w:tc>
          <w:tcPr>
            <w:tcW w:w="920" w:type="dxa"/>
            <w:vAlign w:val="center"/>
          </w:tcPr>
          <w:p w:rsidR="002067B1" w:rsidRPr="002067B1" w:rsidRDefault="002067B1" w:rsidP="008E20F2">
            <w:pPr>
              <w:pStyle w:val="a6"/>
              <w:ind w:left="142"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№ п/п</w:t>
            </w:r>
          </w:p>
        </w:tc>
        <w:tc>
          <w:tcPr>
            <w:tcW w:w="2944" w:type="dxa"/>
            <w:vAlign w:val="center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5546" w:type="dxa"/>
            <w:vAlign w:val="center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Содержание раздела</w:t>
            </w:r>
          </w:p>
        </w:tc>
      </w:tr>
      <w:tr w:rsidR="002067B1" w:rsidRPr="002067B1" w:rsidTr="008E20F2">
        <w:trPr>
          <w:cantSplit/>
        </w:trPr>
        <w:tc>
          <w:tcPr>
            <w:tcW w:w="9410" w:type="dxa"/>
            <w:gridSpan w:val="3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Модуль 1</w:t>
            </w:r>
          </w:p>
        </w:tc>
      </w:tr>
      <w:tr w:rsidR="002067B1" w:rsidRPr="002067B1" w:rsidTr="008E20F2">
        <w:tc>
          <w:tcPr>
            <w:tcW w:w="920" w:type="dxa"/>
          </w:tcPr>
          <w:p w:rsidR="002067B1" w:rsidRPr="002067B1" w:rsidRDefault="002067B1" w:rsidP="002067B1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2944" w:type="dxa"/>
          </w:tcPr>
          <w:p w:rsidR="002067B1" w:rsidRPr="002067B1" w:rsidRDefault="002067B1" w:rsidP="008E20F2">
            <w:pPr>
              <w:pStyle w:val="a6"/>
              <w:ind w:left="0" w:firstLine="0"/>
              <w:jc w:val="both"/>
              <w:rPr>
                <w:bCs/>
                <w:szCs w:val="24"/>
              </w:rPr>
            </w:pPr>
            <w:r w:rsidRPr="002067B1">
              <w:rPr>
                <w:bCs/>
                <w:noProof/>
                <w:szCs w:val="24"/>
              </w:rPr>
              <w:t>Комплексное локомотивное устройство безопасности КЛУБ-У.</w:t>
            </w:r>
          </w:p>
        </w:tc>
        <w:tc>
          <w:tcPr>
            <w:tcW w:w="5546" w:type="dxa"/>
          </w:tcPr>
          <w:p w:rsidR="002067B1" w:rsidRPr="002067B1" w:rsidRDefault="002067B1" w:rsidP="002067B1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11" w:firstLine="0"/>
              <w:jc w:val="both"/>
              <w:rPr>
                <w:bCs/>
                <w:szCs w:val="24"/>
              </w:rPr>
            </w:pPr>
            <w:r w:rsidRPr="002067B1">
              <w:rPr>
                <w:bCs/>
                <w:szCs w:val="24"/>
              </w:rPr>
              <w:t>Назначение КЛУБ-У, состав КЛУБ-У, данные и описание КЛУБ-У, формирование значений допустимой скорости, сравнение сигналов каналов АЛСН и АЛС-ЕН, бдительность, совместная работа с ТСКБМ.</w:t>
            </w:r>
          </w:p>
        </w:tc>
      </w:tr>
      <w:tr w:rsidR="002067B1" w:rsidRPr="002067B1" w:rsidTr="008E20F2">
        <w:trPr>
          <w:cantSplit/>
        </w:trPr>
        <w:tc>
          <w:tcPr>
            <w:tcW w:w="9410" w:type="dxa"/>
            <w:gridSpan w:val="3"/>
            <w:vAlign w:val="center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Модуль 2</w:t>
            </w:r>
          </w:p>
        </w:tc>
      </w:tr>
      <w:tr w:rsidR="002067B1" w:rsidRPr="002067B1" w:rsidTr="008E20F2">
        <w:tc>
          <w:tcPr>
            <w:tcW w:w="920" w:type="dxa"/>
          </w:tcPr>
          <w:p w:rsidR="002067B1" w:rsidRPr="002067B1" w:rsidRDefault="002067B1" w:rsidP="002067B1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2944" w:type="dxa"/>
          </w:tcPr>
          <w:p w:rsidR="002067B1" w:rsidRPr="002067B1" w:rsidRDefault="002067B1" w:rsidP="008E20F2">
            <w:pPr>
              <w:pStyle w:val="a6"/>
              <w:ind w:left="0" w:firstLine="0"/>
              <w:jc w:val="both"/>
              <w:rPr>
                <w:bCs/>
                <w:snapToGrid w:val="0"/>
                <w:color w:val="000000"/>
                <w:szCs w:val="24"/>
              </w:rPr>
            </w:pPr>
            <w:r w:rsidRPr="002067B1">
              <w:rPr>
                <w:bCs/>
                <w:noProof/>
                <w:szCs w:val="24"/>
              </w:rPr>
              <w:t xml:space="preserve">Радиостанции, </w:t>
            </w:r>
            <w:r w:rsidRPr="002067B1">
              <w:rPr>
                <w:bCs/>
                <w:noProof/>
                <w:szCs w:val="24"/>
              </w:rPr>
              <w:lastRenderedPageBreak/>
              <w:t>используемые на подвижном составе.</w:t>
            </w:r>
          </w:p>
        </w:tc>
        <w:tc>
          <w:tcPr>
            <w:tcW w:w="5546" w:type="dxa"/>
          </w:tcPr>
          <w:p w:rsidR="002067B1" w:rsidRPr="002067B1" w:rsidRDefault="002067B1" w:rsidP="002067B1">
            <w:pPr>
              <w:pStyle w:val="a6"/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ind w:left="11" w:firstLine="0"/>
              <w:jc w:val="both"/>
              <w:rPr>
                <w:snapToGrid w:val="0"/>
                <w:color w:val="000000"/>
                <w:szCs w:val="24"/>
              </w:rPr>
            </w:pPr>
            <w:r w:rsidRPr="002067B1">
              <w:rPr>
                <w:snapToGrid w:val="0"/>
                <w:color w:val="000000"/>
                <w:szCs w:val="24"/>
              </w:rPr>
              <w:lastRenderedPageBreak/>
              <w:t xml:space="preserve">Радиостанция 1Р22СВ-2 «Мост», технические </w:t>
            </w:r>
            <w:r w:rsidRPr="002067B1">
              <w:rPr>
                <w:snapToGrid w:val="0"/>
                <w:color w:val="000000"/>
                <w:szCs w:val="24"/>
              </w:rPr>
              <w:lastRenderedPageBreak/>
              <w:t>характеристики, устройство и работа, Радиостанция РВС-1, технические характеристики, устройство и работа, радиостанция 55Р22В-1.1М «Транспорт-РВ-1.1М», технические характеристики, устройство и работа.</w:t>
            </w:r>
          </w:p>
        </w:tc>
      </w:tr>
      <w:tr w:rsidR="002067B1" w:rsidRPr="002067B1" w:rsidTr="008E20F2">
        <w:trPr>
          <w:cantSplit/>
        </w:trPr>
        <w:tc>
          <w:tcPr>
            <w:tcW w:w="9410" w:type="dxa"/>
            <w:gridSpan w:val="3"/>
            <w:vAlign w:val="center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lastRenderedPageBreak/>
              <w:t>Модуль 3</w:t>
            </w:r>
          </w:p>
        </w:tc>
      </w:tr>
      <w:tr w:rsidR="002067B1" w:rsidRPr="002067B1" w:rsidTr="008E20F2">
        <w:tc>
          <w:tcPr>
            <w:tcW w:w="920" w:type="dxa"/>
          </w:tcPr>
          <w:p w:rsidR="002067B1" w:rsidRPr="002067B1" w:rsidRDefault="002067B1" w:rsidP="002067B1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2944" w:type="dxa"/>
          </w:tcPr>
          <w:p w:rsidR="002067B1" w:rsidRPr="002067B1" w:rsidRDefault="002067B1" w:rsidP="008E20F2">
            <w:pPr>
              <w:pStyle w:val="a6"/>
              <w:ind w:left="0" w:firstLine="0"/>
              <w:jc w:val="both"/>
              <w:rPr>
                <w:bCs/>
                <w:snapToGrid w:val="0"/>
                <w:color w:val="000000"/>
                <w:szCs w:val="24"/>
              </w:rPr>
            </w:pPr>
            <w:r w:rsidRPr="002067B1">
              <w:rPr>
                <w:bCs/>
                <w:noProof/>
                <w:szCs w:val="24"/>
              </w:rPr>
              <w:t>Унифицированная система автоматизированного ведения поездов.</w:t>
            </w:r>
          </w:p>
        </w:tc>
        <w:tc>
          <w:tcPr>
            <w:tcW w:w="5546" w:type="dxa"/>
          </w:tcPr>
          <w:p w:rsidR="002067B1" w:rsidRPr="002067B1" w:rsidRDefault="002067B1" w:rsidP="002067B1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1">
              <w:rPr>
                <w:rFonts w:ascii="Times New Roman" w:hAnsi="Times New Roman" w:cs="Times New Roman"/>
                <w:sz w:val="24"/>
                <w:szCs w:val="24"/>
              </w:rPr>
              <w:t>Состав системы УСАВПЭ, технические характеристики системы, органы управления системой, режимы индикации информации и их выбор, ввод в систему оперативной маршрутной информации, реакция системы на показания локомотивного светофора, окончание работы с системой.</w:t>
            </w:r>
          </w:p>
        </w:tc>
      </w:tr>
      <w:tr w:rsidR="002067B1" w:rsidRPr="002067B1" w:rsidTr="008E20F2">
        <w:trPr>
          <w:cantSplit/>
        </w:trPr>
        <w:tc>
          <w:tcPr>
            <w:tcW w:w="9410" w:type="dxa"/>
            <w:gridSpan w:val="3"/>
            <w:vAlign w:val="center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Модуль 4</w:t>
            </w:r>
          </w:p>
        </w:tc>
      </w:tr>
      <w:tr w:rsidR="002067B1" w:rsidRPr="002067B1" w:rsidTr="008E20F2">
        <w:tc>
          <w:tcPr>
            <w:tcW w:w="920" w:type="dxa"/>
          </w:tcPr>
          <w:p w:rsidR="002067B1" w:rsidRPr="002067B1" w:rsidRDefault="002067B1" w:rsidP="002067B1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2944" w:type="dxa"/>
          </w:tcPr>
          <w:p w:rsidR="002067B1" w:rsidRPr="002067B1" w:rsidRDefault="002067B1" w:rsidP="008E20F2">
            <w:pPr>
              <w:pStyle w:val="a6"/>
              <w:ind w:left="0" w:firstLine="0"/>
              <w:jc w:val="both"/>
              <w:rPr>
                <w:bCs/>
                <w:snapToGrid w:val="0"/>
                <w:color w:val="000000"/>
                <w:szCs w:val="24"/>
              </w:rPr>
            </w:pPr>
            <w:r w:rsidRPr="002067B1">
              <w:rPr>
                <w:bCs/>
                <w:noProof/>
                <w:szCs w:val="24"/>
              </w:rPr>
              <w:t>Регистратор параметров движения поезда и автоведения.</w:t>
            </w:r>
          </w:p>
        </w:tc>
        <w:tc>
          <w:tcPr>
            <w:tcW w:w="5546" w:type="dxa"/>
          </w:tcPr>
          <w:p w:rsidR="002067B1" w:rsidRPr="002067B1" w:rsidRDefault="002067B1" w:rsidP="002067B1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7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Состав системы РПДА, устройство и работа, подготовка системы к использованию, использование системы, блок БИВ-4.</w:t>
            </w:r>
          </w:p>
        </w:tc>
      </w:tr>
      <w:tr w:rsidR="002067B1" w:rsidRPr="002067B1" w:rsidTr="008E20F2">
        <w:trPr>
          <w:cantSplit/>
        </w:trPr>
        <w:tc>
          <w:tcPr>
            <w:tcW w:w="9410" w:type="dxa"/>
            <w:gridSpan w:val="3"/>
            <w:vAlign w:val="center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Модуль 5</w:t>
            </w:r>
          </w:p>
        </w:tc>
      </w:tr>
      <w:tr w:rsidR="002067B1" w:rsidRPr="002067B1" w:rsidTr="008E20F2">
        <w:tc>
          <w:tcPr>
            <w:tcW w:w="920" w:type="dxa"/>
          </w:tcPr>
          <w:p w:rsidR="002067B1" w:rsidRPr="002067B1" w:rsidRDefault="002067B1" w:rsidP="002067B1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2944" w:type="dxa"/>
          </w:tcPr>
          <w:p w:rsidR="002067B1" w:rsidRPr="002067B1" w:rsidRDefault="002067B1" w:rsidP="008E20F2">
            <w:pPr>
              <w:pStyle w:val="a6"/>
              <w:ind w:left="0" w:firstLine="0"/>
              <w:jc w:val="both"/>
              <w:rPr>
                <w:bCs/>
                <w:snapToGrid w:val="0"/>
                <w:color w:val="000000"/>
                <w:szCs w:val="24"/>
              </w:rPr>
            </w:pPr>
            <w:r w:rsidRPr="002067B1">
              <w:rPr>
                <w:bCs/>
                <w:noProof/>
                <w:szCs w:val="24"/>
              </w:rPr>
              <w:t>Спутниковая навигационная система.</w:t>
            </w:r>
          </w:p>
        </w:tc>
        <w:tc>
          <w:tcPr>
            <w:tcW w:w="5546" w:type="dxa"/>
          </w:tcPr>
          <w:p w:rsidR="002067B1" w:rsidRPr="002067B1" w:rsidRDefault="002067B1" w:rsidP="002067B1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67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мобильного терминала ТМ4-3, технические характеристики, включение и контроль работы терминала, антенно-усилительное устройство.</w:t>
            </w:r>
          </w:p>
        </w:tc>
      </w:tr>
      <w:tr w:rsidR="002067B1" w:rsidRPr="002067B1" w:rsidTr="008E20F2">
        <w:trPr>
          <w:cantSplit/>
        </w:trPr>
        <w:tc>
          <w:tcPr>
            <w:tcW w:w="9410" w:type="dxa"/>
            <w:gridSpan w:val="3"/>
            <w:vAlign w:val="center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Модуль 6</w:t>
            </w:r>
          </w:p>
        </w:tc>
      </w:tr>
      <w:tr w:rsidR="002067B1" w:rsidRPr="002067B1" w:rsidTr="008E20F2">
        <w:tc>
          <w:tcPr>
            <w:tcW w:w="920" w:type="dxa"/>
          </w:tcPr>
          <w:p w:rsidR="002067B1" w:rsidRPr="002067B1" w:rsidRDefault="002067B1" w:rsidP="002067B1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2944" w:type="dxa"/>
          </w:tcPr>
          <w:p w:rsidR="002067B1" w:rsidRPr="002067B1" w:rsidRDefault="002067B1" w:rsidP="008E20F2">
            <w:pPr>
              <w:pStyle w:val="a6"/>
              <w:ind w:left="0" w:firstLine="0"/>
              <w:jc w:val="both"/>
              <w:rPr>
                <w:bCs/>
                <w:snapToGrid w:val="0"/>
                <w:color w:val="000000"/>
                <w:szCs w:val="24"/>
              </w:rPr>
            </w:pPr>
            <w:r w:rsidRPr="002067B1">
              <w:rPr>
                <w:bCs/>
                <w:noProof/>
                <w:szCs w:val="24"/>
              </w:rPr>
              <w:t>Особенности устройств безопасности на скоростных и высокоскоростных электропоездах.</w:t>
            </w:r>
          </w:p>
        </w:tc>
        <w:tc>
          <w:tcPr>
            <w:tcW w:w="5546" w:type="dxa"/>
          </w:tcPr>
          <w:p w:rsidR="002067B1" w:rsidRPr="002067B1" w:rsidRDefault="002067B1" w:rsidP="002067B1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7B1">
              <w:rPr>
                <w:rFonts w:ascii="Times New Roman" w:hAnsi="Times New Roman" w:cs="Times New Roman"/>
                <w:bCs/>
                <w:sz w:val="24"/>
                <w:szCs w:val="24"/>
              </w:rPr>
              <w:t>Телемеханическая система контроля бодрствования машиниста ТСКБМ (исполнение 35М), состав системы, работа, совместная работа системы ТСКБМ исполнения 35М и КЛУБ-У, особенности работы и эксплуатации радиостанции РВС-1-08.</w:t>
            </w:r>
          </w:p>
        </w:tc>
      </w:tr>
      <w:tr w:rsidR="002067B1" w:rsidRPr="002067B1" w:rsidTr="008E20F2">
        <w:trPr>
          <w:cantSplit/>
        </w:trPr>
        <w:tc>
          <w:tcPr>
            <w:tcW w:w="9410" w:type="dxa"/>
            <w:gridSpan w:val="3"/>
            <w:vAlign w:val="center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Модуль 7</w:t>
            </w:r>
          </w:p>
        </w:tc>
      </w:tr>
      <w:tr w:rsidR="002067B1" w:rsidRPr="002067B1" w:rsidTr="008E20F2">
        <w:tc>
          <w:tcPr>
            <w:tcW w:w="920" w:type="dxa"/>
          </w:tcPr>
          <w:p w:rsidR="002067B1" w:rsidRPr="002067B1" w:rsidRDefault="002067B1" w:rsidP="002067B1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2944" w:type="dxa"/>
          </w:tcPr>
          <w:p w:rsidR="002067B1" w:rsidRPr="002067B1" w:rsidRDefault="002067B1" w:rsidP="008E20F2">
            <w:pPr>
              <w:pStyle w:val="a6"/>
              <w:ind w:left="0" w:firstLine="0"/>
              <w:jc w:val="both"/>
              <w:rPr>
                <w:bCs/>
                <w:snapToGrid w:val="0"/>
                <w:color w:val="000000"/>
                <w:szCs w:val="24"/>
              </w:rPr>
            </w:pPr>
            <w:r w:rsidRPr="002067B1">
              <w:rPr>
                <w:bCs/>
                <w:noProof/>
                <w:szCs w:val="24"/>
              </w:rPr>
              <w:t>Автоведение скоростных и высокоскоростных поездов.</w:t>
            </w:r>
          </w:p>
        </w:tc>
        <w:tc>
          <w:tcPr>
            <w:tcW w:w="5546" w:type="dxa"/>
          </w:tcPr>
          <w:p w:rsidR="002067B1" w:rsidRPr="002067B1" w:rsidRDefault="002067B1" w:rsidP="002067B1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1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Интерфейсы системы автоведения </w:t>
            </w:r>
            <w:r w:rsidRPr="002067B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высокоскоростных поездов, включение системы на станции отправления, включение системы в пути следования, движение поездов с использованием системы автоведения.</w:t>
            </w:r>
          </w:p>
        </w:tc>
      </w:tr>
      <w:tr w:rsidR="002067B1" w:rsidRPr="002067B1" w:rsidTr="008E20F2">
        <w:trPr>
          <w:cantSplit/>
        </w:trPr>
        <w:tc>
          <w:tcPr>
            <w:tcW w:w="9410" w:type="dxa"/>
            <w:gridSpan w:val="3"/>
            <w:vAlign w:val="center"/>
          </w:tcPr>
          <w:p w:rsidR="002067B1" w:rsidRPr="002067B1" w:rsidRDefault="002067B1" w:rsidP="008E20F2">
            <w:pPr>
              <w:pStyle w:val="a6"/>
              <w:ind w:firstLine="0"/>
              <w:jc w:val="center"/>
              <w:rPr>
                <w:b/>
                <w:szCs w:val="24"/>
              </w:rPr>
            </w:pPr>
            <w:r w:rsidRPr="002067B1">
              <w:rPr>
                <w:b/>
                <w:szCs w:val="24"/>
              </w:rPr>
              <w:t>Модуль 8</w:t>
            </w:r>
          </w:p>
        </w:tc>
      </w:tr>
      <w:tr w:rsidR="002067B1" w:rsidRPr="002067B1" w:rsidTr="008E20F2">
        <w:tc>
          <w:tcPr>
            <w:tcW w:w="920" w:type="dxa"/>
          </w:tcPr>
          <w:p w:rsidR="002067B1" w:rsidRPr="002067B1" w:rsidRDefault="002067B1" w:rsidP="002067B1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2944" w:type="dxa"/>
          </w:tcPr>
          <w:p w:rsidR="002067B1" w:rsidRPr="002067B1" w:rsidRDefault="002067B1" w:rsidP="008E20F2">
            <w:pPr>
              <w:pStyle w:val="a6"/>
              <w:ind w:left="0" w:firstLine="0"/>
              <w:jc w:val="both"/>
              <w:rPr>
                <w:bCs/>
                <w:snapToGrid w:val="0"/>
                <w:color w:val="000000"/>
                <w:szCs w:val="24"/>
              </w:rPr>
            </w:pPr>
            <w:r w:rsidRPr="002067B1">
              <w:rPr>
                <w:bCs/>
                <w:noProof/>
                <w:szCs w:val="24"/>
              </w:rPr>
              <w:t>Автоматическая локомотивная сигнализация.</w:t>
            </w:r>
          </w:p>
        </w:tc>
        <w:tc>
          <w:tcPr>
            <w:tcW w:w="5546" w:type="dxa"/>
          </w:tcPr>
          <w:p w:rsidR="002067B1" w:rsidRPr="002067B1" w:rsidRDefault="002067B1" w:rsidP="002067B1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1">
              <w:rPr>
                <w:rFonts w:ascii="Times New Roman" w:hAnsi="Times New Roman" w:cs="Times New Roman"/>
                <w:sz w:val="24"/>
                <w:szCs w:val="24"/>
              </w:rPr>
              <w:t>Принцип действия и назначение устройств автоматической локомотивной сигнализацией, рельсовые цепи, кодовые путевые трансмиттеры, устройства, расположенные на локомотивах.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067B1" w:rsidRPr="00233D2D" w:rsidRDefault="002067B1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5501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59550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067B1" w:rsidRPr="00233D2D" w:rsidRDefault="002067B1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D2D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067B1" w:rsidRPr="00233D2D" w:rsidRDefault="002067B1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D2D">
        <w:rPr>
          <w:rFonts w:ascii="Times New Roman" w:hAnsi="Times New Roman" w:cs="Times New Roman"/>
          <w:sz w:val="24"/>
          <w:szCs w:val="24"/>
        </w:rPr>
        <w:t xml:space="preserve">Лекции </w:t>
      </w:r>
      <w:r>
        <w:rPr>
          <w:rFonts w:ascii="Times New Roman" w:hAnsi="Times New Roman" w:cs="Times New Roman"/>
          <w:sz w:val="24"/>
          <w:szCs w:val="24"/>
        </w:rPr>
        <w:t>–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D2D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33D2D">
        <w:rPr>
          <w:rFonts w:ascii="Times New Roman" w:hAnsi="Times New Roman" w:cs="Times New Roman"/>
          <w:sz w:val="24"/>
          <w:szCs w:val="24"/>
        </w:rPr>
        <w:t>;</w:t>
      </w:r>
    </w:p>
    <w:p w:rsidR="002067B1" w:rsidRDefault="002067B1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33D2D">
        <w:rPr>
          <w:rFonts w:ascii="Times New Roman" w:hAnsi="Times New Roman" w:cs="Times New Roman"/>
          <w:sz w:val="24"/>
          <w:szCs w:val="24"/>
        </w:rPr>
        <w:t>;</w:t>
      </w:r>
    </w:p>
    <w:p w:rsidR="002067B1" w:rsidRPr="00233D2D" w:rsidRDefault="002067B1" w:rsidP="0020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40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067B1" w:rsidRPr="00595501" w:rsidRDefault="002067B1" w:rsidP="0020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Форма контроля знаний</w:t>
      </w:r>
    </w:p>
    <w:p w:rsidR="00960B5F" w:rsidRPr="007E3C95" w:rsidRDefault="002067B1" w:rsidP="00206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 xml:space="preserve">- при очной форме обучения: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95501">
        <w:rPr>
          <w:rFonts w:ascii="Times New Roman" w:hAnsi="Times New Roman" w:cs="Times New Roman"/>
          <w:sz w:val="24"/>
          <w:szCs w:val="24"/>
        </w:rPr>
        <w:t xml:space="preserve"> семестр –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зачет и курсовой проект.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34A"/>
    <w:multiLevelType w:val="hybridMultilevel"/>
    <w:tmpl w:val="63D8F51C"/>
    <w:lvl w:ilvl="0" w:tplc="612A06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21DE"/>
    <w:multiLevelType w:val="hybridMultilevel"/>
    <w:tmpl w:val="EE4C83B6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1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2"/>
  </w:num>
  <w:num w:numId="5">
    <w:abstractNumId w:val="7"/>
  </w:num>
  <w:num w:numId="6">
    <w:abstractNumId w:val="9"/>
  </w:num>
  <w:num w:numId="7">
    <w:abstractNumId w:val="17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5"/>
  </w:num>
  <w:num w:numId="15">
    <w:abstractNumId w:val="20"/>
  </w:num>
  <w:num w:numId="16">
    <w:abstractNumId w:val="10"/>
  </w:num>
  <w:num w:numId="17">
    <w:abstractNumId w:val="15"/>
  </w:num>
  <w:num w:numId="18">
    <w:abstractNumId w:val="6"/>
  </w:num>
  <w:num w:numId="19">
    <w:abstractNumId w:val="23"/>
  </w:num>
  <w:num w:numId="20">
    <w:abstractNumId w:val="11"/>
  </w:num>
  <w:num w:numId="21">
    <w:abstractNumId w:val="18"/>
  </w:num>
  <w:num w:numId="22">
    <w:abstractNumId w:val="21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600F2"/>
    <w:rsid w:val="000B66D8"/>
    <w:rsid w:val="000C23B7"/>
    <w:rsid w:val="000C42AB"/>
    <w:rsid w:val="000F2267"/>
    <w:rsid w:val="00137CB9"/>
    <w:rsid w:val="0016412E"/>
    <w:rsid w:val="00176C0D"/>
    <w:rsid w:val="0018685C"/>
    <w:rsid w:val="00192D06"/>
    <w:rsid w:val="00194CF8"/>
    <w:rsid w:val="001C1938"/>
    <w:rsid w:val="001C27F9"/>
    <w:rsid w:val="001C7C5F"/>
    <w:rsid w:val="001D352A"/>
    <w:rsid w:val="002067B1"/>
    <w:rsid w:val="00212A03"/>
    <w:rsid w:val="002528F3"/>
    <w:rsid w:val="00304772"/>
    <w:rsid w:val="003879B4"/>
    <w:rsid w:val="003C24FC"/>
    <w:rsid w:val="00403D4E"/>
    <w:rsid w:val="0045070F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82211"/>
    <w:rsid w:val="007D37CF"/>
    <w:rsid w:val="007E3C95"/>
    <w:rsid w:val="0083307C"/>
    <w:rsid w:val="008F1B4A"/>
    <w:rsid w:val="00925AF8"/>
    <w:rsid w:val="00960B5F"/>
    <w:rsid w:val="00976A1B"/>
    <w:rsid w:val="00986C3D"/>
    <w:rsid w:val="009F2C18"/>
    <w:rsid w:val="00A226EB"/>
    <w:rsid w:val="00A3637B"/>
    <w:rsid w:val="00A76C17"/>
    <w:rsid w:val="00AB220C"/>
    <w:rsid w:val="00AE13A5"/>
    <w:rsid w:val="00AE62E1"/>
    <w:rsid w:val="00BF0E1C"/>
    <w:rsid w:val="00C144A2"/>
    <w:rsid w:val="00C24BF2"/>
    <w:rsid w:val="00C718A4"/>
    <w:rsid w:val="00CA35C1"/>
    <w:rsid w:val="00CB3E9E"/>
    <w:rsid w:val="00CE7B39"/>
    <w:rsid w:val="00D00295"/>
    <w:rsid w:val="00D06585"/>
    <w:rsid w:val="00D5166C"/>
    <w:rsid w:val="00D656B6"/>
    <w:rsid w:val="00DB4203"/>
    <w:rsid w:val="00E00D05"/>
    <w:rsid w:val="00EB3A0C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2F49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C1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1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30AE-8F5E-4D0A-A384-893CDAF8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24</cp:revision>
  <cp:lastPrinted>2016-02-19T06:41:00Z</cp:lastPrinted>
  <dcterms:created xsi:type="dcterms:W3CDTF">2017-01-12T18:20:00Z</dcterms:created>
  <dcterms:modified xsi:type="dcterms:W3CDTF">2017-03-31T12:04:00Z</dcterms:modified>
</cp:coreProperties>
</file>