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D28B5">
        <w:rPr>
          <w:rFonts w:ascii="Times New Roman" w:eastAsia="Times New Roman" w:hAnsi="Times New Roman" w:cs="Times New Roman"/>
          <w:sz w:val="24"/>
          <w:szCs w:val="24"/>
        </w:rPr>
        <w:t>Основы механики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C06CA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D28B5">
        <w:rPr>
          <w:rFonts w:ascii="Times New Roman" w:eastAsia="Times New Roman" w:hAnsi="Times New Roman" w:cs="Times New Roman"/>
          <w:sz w:val="24"/>
          <w:szCs w:val="24"/>
        </w:rPr>
        <w:t>Основы механики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230F37">
        <w:rPr>
          <w:rFonts w:ascii="Times New Roman" w:hAnsi="Times New Roman" w:cs="Times New Roman"/>
          <w:sz w:val="24"/>
          <w:szCs w:val="24"/>
        </w:rPr>
        <w:t>41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D28B5" w:rsidRPr="004D28B5" w:rsidRDefault="004D28B5" w:rsidP="004D28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28B5">
        <w:rPr>
          <w:rFonts w:ascii="Times New Roman" w:hAnsi="Times New Roman" w:cs="Times New Roman"/>
          <w:sz w:val="24"/>
          <w:szCs w:val="24"/>
        </w:rPr>
        <w:t xml:space="preserve">Целью изучения дисциплины «Основы механики подвижного состава» является приобретение знаний в области проектно-конструкторской и научно-исследовательской деятельности на основе изучения современных методов расчета прочности и устойчивости несущих конструкций вагонов при различных типах </w:t>
      </w:r>
      <w:proofErr w:type="spellStart"/>
      <w:r w:rsidRPr="004D28B5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4D28B5">
        <w:rPr>
          <w:rFonts w:ascii="Times New Roman" w:hAnsi="Times New Roman" w:cs="Times New Roman"/>
          <w:sz w:val="24"/>
          <w:szCs w:val="24"/>
        </w:rPr>
        <w:t xml:space="preserve">, расчета динамических показателей вагонов и анализа безопасности от схода колес с рельсов, расчета динамической </w:t>
      </w:r>
      <w:proofErr w:type="spellStart"/>
      <w:r w:rsidRPr="004D28B5">
        <w:rPr>
          <w:rFonts w:ascii="Times New Roman" w:hAnsi="Times New Roman" w:cs="Times New Roman"/>
          <w:sz w:val="24"/>
          <w:szCs w:val="24"/>
        </w:rPr>
        <w:t>нагруженности</w:t>
      </w:r>
      <w:proofErr w:type="spellEnd"/>
      <w:r w:rsidRPr="004D28B5">
        <w:rPr>
          <w:rFonts w:ascii="Times New Roman" w:hAnsi="Times New Roman" w:cs="Times New Roman"/>
          <w:sz w:val="24"/>
          <w:szCs w:val="24"/>
        </w:rPr>
        <w:t xml:space="preserve"> несущих конструкций вагонов с использованием компьютерных технологий.</w:t>
      </w:r>
      <w:proofErr w:type="gramEnd"/>
    </w:p>
    <w:p w:rsidR="004D28B5" w:rsidRPr="004D28B5" w:rsidRDefault="004D28B5" w:rsidP="004D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B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D28B5" w:rsidRPr="004D28B5" w:rsidRDefault="004D28B5" w:rsidP="004D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B5">
        <w:rPr>
          <w:rFonts w:ascii="Times New Roman" w:hAnsi="Times New Roman" w:cs="Times New Roman"/>
          <w:sz w:val="24"/>
          <w:szCs w:val="24"/>
        </w:rPr>
        <w:t>- ознакомление с основными положениями теории упругости и теории колебаний, применяемыми для расчета вагонов;</w:t>
      </w:r>
    </w:p>
    <w:p w:rsidR="004D28B5" w:rsidRPr="004D28B5" w:rsidRDefault="004D28B5" w:rsidP="004D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B5">
        <w:rPr>
          <w:rFonts w:ascii="Times New Roman" w:hAnsi="Times New Roman" w:cs="Times New Roman"/>
          <w:sz w:val="24"/>
          <w:szCs w:val="24"/>
        </w:rPr>
        <w:t>- применение современных компьютерных технологий для численного моделирования движения вагона, численного решения задач прочности и устойчивости сжатых конструкций;</w:t>
      </w:r>
    </w:p>
    <w:p w:rsidR="004D28B5" w:rsidRPr="004D28B5" w:rsidRDefault="004D28B5" w:rsidP="004D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B5">
        <w:rPr>
          <w:rFonts w:ascii="Times New Roman" w:hAnsi="Times New Roman" w:cs="Times New Roman"/>
          <w:sz w:val="24"/>
          <w:szCs w:val="24"/>
        </w:rPr>
        <w:t>- сопоставление результатов расчетов с существующей нормативной базой по требованиям к прочности и динамическим качествам.</w:t>
      </w:r>
    </w:p>
    <w:p w:rsidR="00D06585" w:rsidRPr="00927991" w:rsidRDefault="007E3C95" w:rsidP="00307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086B0C">
        <w:rPr>
          <w:rFonts w:ascii="Times New Roman" w:hAnsi="Times New Roman" w:cs="Times New Roman"/>
          <w:sz w:val="24"/>
          <w:szCs w:val="24"/>
        </w:rPr>
        <w:t>О</w:t>
      </w:r>
      <w:r w:rsidR="00927991">
        <w:rPr>
          <w:rFonts w:ascii="Times New Roman" w:hAnsi="Times New Roman" w:cs="Times New Roman"/>
          <w:sz w:val="24"/>
          <w:szCs w:val="24"/>
        </w:rPr>
        <w:t>ПК-</w:t>
      </w:r>
      <w:r w:rsidR="003760C3">
        <w:rPr>
          <w:rFonts w:ascii="Times New Roman" w:hAnsi="Times New Roman" w:cs="Times New Roman"/>
          <w:sz w:val="24"/>
          <w:szCs w:val="24"/>
        </w:rPr>
        <w:t>7</w:t>
      </w:r>
      <w:r w:rsidR="00927991">
        <w:rPr>
          <w:rFonts w:ascii="Times New Roman" w:hAnsi="Times New Roman" w:cs="Times New Roman"/>
          <w:sz w:val="24"/>
          <w:szCs w:val="24"/>
        </w:rPr>
        <w:t xml:space="preserve">; </w:t>
      </w:r>
      <w:r w:rsidR="00086B0C">
        <w:rPr>
          <w:rFonts w:ascii="Times New Roman" w:hAnsi="Times New Roman" w:cs="Times New Roman"/>
          <w:sz w:val="24"/>
          <w:szCs w:val="24"/>
        </w:rPr>
        <w:t>О</w:t>
      </w:r>
      <w:r w:rsidR="00927991">
        <w:rPr>
          <w:rFonts w:ascii="Times New Roman" w:hAnsi="Times New Roman" w:cs="Times New Roman"/>
          <w:sz w:val="24"/>
          <w:szCs w:val="24"/>
        </w:rPr>
        <w:t>ПК-</w:t>
      </w:r>
      <w:r w:rsidR="00086B0C">
        <w:rPr>
          <w:rFonts w:ascii="Times New Roman" w:hAnsi="Times New Roman" w:cs="Times New Roman"/>
          <w:sz w:val="24"/>
          <w:szCs w:val="24"/>
        </w:rPr>
        <w:t>1</w:t>
      </w:r>
      <w:r w:rsidR="003760C3">
        <w:rPr>
          <w:rFonts w:ascii="Times New Roman" w:hAnsi="Times New Roman" w:cs="Times New Roman"/>
          <w:sz w:val="24"/>
          <w:szCs w:val="24"/>
        </w:rPr>
        <w:t>3</w:t>
      </w:r>
      <w:r w:rsidR="007867BE">
        <w:rPr>
          <w:rFonts w:ascii="Times New Roman" w:hAnsi="Times New Roman" w:cs="Times New Roman"/>
          <w:sz w:val="24"/>
          <w:szCs w:val="24"/>
        </w:rPr>
        <w:t>; ПК-1</w:t>
      </w:r>
      <w:r w:rsidR="00086B0C">
        <w:rPr>
          <w:rFonts w:ascii="Times New Roman" w:hAnsi="Times New Roman" w:cs="Times New Roman"/>
          <w:sz w:val="24"/>
          <w:szCs w:val="24"/>
        </w:rPr>
        <w:t>3</w:t>
      </w:r>
      <w:r w:rsidR="003760C3">
        <w:rPr>
          <w:rFonts w:ascii="Times New Roman" w:hAnsi="Times New Roman" w:cs="Times New Roman"/>
          <w:sz w:val="24"/>
          <w:szCs w:val="24"/>
        </w:rPr>
        <w:t>; ПК-19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D28B5" w:rsidRPr="004D28B5" w:rsidRDefault="004D28B5" w:rsidP="004D28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8B5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4D28B5">
        <w:rPr>
          <w:rFonts w:ascii="Times New Roman" w:hAnsi="Times New Roman" w:cs="Times New Roman"/>
          <w:bCs/>
          <w:sz w:val="24"/>
          <w:szCs w:val="24"/>
        </w:rPr>
        <w:t>:</w:t>
      </w:r>
    </w:p>
    <w:p w:rsidR="004D28B5" w:rsidRPr="004D28B5" w:rsidRDefault="004D28B5" w:rsidP="004D2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5">
        <w:rPr>
          <w:rFonts w:ascii="Times New Roman" w:eastAsia="Times New Roman" w:hAnsi="Times New Roman" w:cs="Times New Roman"/>
          <w:sz w:val="24"/>
          <w:szCs w:val="24"/>
        </w:rPr>
        <w:tab/>
        <w:t>основные положения теории колебаний и теории упругости, применяемые в расчетах подвижного состава; основы метода конечных элементов, применяемого для расчета прочности несущих конструкций; методы и критерии оценки прочности и динамических качеств вагонов; нормативные документы, задающие требования к прочности и динамическим качествам вагонов;</w:t>
      </w:r>
    </w:p>
    <w:p w:rsidR="004D28B5" w:rsidRPr="004D28B5" w:rsidRDefault="004D28B5" w:rsidP="004D28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8B5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4D28B5">
        <w:rPr>
          <w:rFonts w:ascii="Times New Roman" w:hAnsi="Times New Roman" w:cs="Times New Roman"/>
          <w:bCs/>
          <w:sz w:val="24"/>
          <w:szCs w:val="24"/>
        </w:rPr>
        <w:t>:</w:t>
      </w:r>
    </w:p>
    <w:p w:rsidR="004D28B5" w:rsidRPr="004D28B5" w:rsidRDefault="004D28B5" w:rsidP="004D2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B5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формировать расчетные схемы для математического моделирования колебаний вагонов и их составных частей, включая системы твердых тел, связей между ними, начальные условия и возмущения; </w:t>
      </w:r>
      <w:proofErr w:type="gramStart"/>
      <w:r w:rsidRPr="004D28B5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proofErr w:type="gramEnd"/>
      <w:r w:rsidRPr="004D28B5">
        <w:rPr>
          <w:rFonts w:ascii="Times New Roman" w:eastAsia="Times New Roman" w:hAnsi="Times New Roman" w:cs="Times New Roman"/>
          <w:sz w:val="24"/>
          <w:szCs w:val="24"/>
        </w:rPr>
        <w:t xml:space="preserve"> конечно-элементные модели для расчета прочности и устойчивости сжатых конструкций, включая геометрию, свойства материалов, кинематические и силовые граничные условия;</w:t>
      </w:r>
    </w:p>
    <w:p w:rsidR="004D28B5" w:rsidRPr="004D28B5" w:rsidRDefault="004D28B5" w:rsidP="004D28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8B5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4D28B5">
        <w:rPr>
          <w:rFonts w:ascii="Times New Roman" w:hAnsi="Times New Roman" w:cs="Times New Roman"/>
          <w:bCs/>
          <w:sz w:val="24"/>
          <w:szCs w:val="24"/>
        </w:rPr>
        <w:t>:</w:t>
      </w:r>
    </w:p>
    <w:p w:rsidR="004D28B5" w:rsidRPr="004D28B5" w:rsidRDefault="004D28B5" w:rsidP="004D28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8B5">
        <w:rPr>
          <w:rFonts w:ascii="Times New Roman" w:hAnsi="Times New Roman" w:cs="Times New Roman"/>
          <w:bCs/>
          <w:sz w:val="24"/>
          <w:szCs w:val="24"/>
        </w:rPr>
        <w:tab/>
        <w:t>специализированным программным комплексом для моделирования движения рельсового подвижного состава; специализированным программным комплексом для моделирования прочности несущих конструкций методом конечных элементов.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89"/>
        <w:gridCol w:w="5986"/>
      </w:tblGrid>
      <w:tr w:rsidR="004D28B5" w:rsidRPr="004D28B5" w:rsidTr="00851EFF">
        <w:trPr>
          <w:cantSplit/>
          <w:trHeight w:val="840"/>
          <w:tblHeader/>
        </w:trPr>
        <w:tc>
          <w:tcPr>
            <w:tcW w:w="0" w:type="auto"/>
            <w:shd w:val="clear" w:color="auto" w:fill="auto"/>
            <w:vAlign w:val="center"/>
          </w:tcPr>
          <w:p w:rsidR="004D28B5" w:rsidRPr="004D28B5" w:rsidRDefault="004D28B5" w:rsidP="004D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D2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2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28B5" w:rsidRPr="004D28B5" w:rsidRDefault="004D28B5" w:rsidP="004D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4D28B5" w:rsidRPr="004D28B5" w:rsidRDefault="004D28B5" w:rsidP="004D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28B5" w:rsidRPr="004D28B5" w:rsidRDefault="004D28B5" w:rsidP="004D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4D28B5" w:rsidRPr="004D28B5" w:rsidTr="004D28B5">
        <w:trPr>
          <w:cantSplit/>
          <w:trHeight w:val="250"/>
        </w:trPr>
        <w:tc>
          <w:tcPr>
            <w:tcW w:w="0" w:type="auto"/>
            <w:gridSpan w:val="3"/>
            <w:shd w:val="clear" w:color="auto" w:fill="auto"/>
          </w:tcPr>
          <w:p w:rsidR="004D28B5" w:rsidRPr="004D28B5" w:rsidRDefault="004D28B5" w:rsidP="004D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 «Динамика вагонов»</w:t>
            </w:r>
          </w:p>
        </w:tc>
      </w:tr>
      <w:tr w:rsidR="004D28B5" w:rsidRPr="004D28B5" w:rsidTr="00851EFF">
        <w:trPr>
          <w:cantSplit/>
          <w:trHeight w:val="723"/>
        </w:trPr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1.1 Динамика вагонов, как составная часть науки о механике вагона, определяющая уровень динамических воздействий на элементы конструкции, устанавливающая качественные и количественные показатели, характеризующие безопасность его движения.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1.2 Элементы классической механики, используемые в задачах моделирования динамики вагонов. Общая структура моделирующих дифференциальных уравнений, методы их анализа. Входные параметры и выходные величины математических моделей.</w:t>
            </w:r>
          </w:p>
        </w:tc>
      </w:tr>
      <w:tr w:rsidR="004D28B5" w:rsidRPr="004D28B5" w:rsidTr="004D28B5">
        <w:trPr>
          <w:cantSplit/>
          <w:trHeight w:val="7682"/>
        </w:trPr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Колебания вагона на рессорном подвешивании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2.1 Общие сведения о факторах, способствующих возникновению колебаний вагонов. Характеристики вагонов, обуславливающие колебательные движения его деталей и узлов. Путь и его характеристики, влияющие на динамические процессы вагонов.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2.2 Общая характеристика систем рессорного подвешивания. Виды колебаний вагона в заданной системе координат. Расчетные схемы вагона, основанные на различных допущениях.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2.3 Собственные колебания кузова на рессорах с линейными упругими элементами без трения в подвешивании, с гасителем колебаний вязкого трения. Собственные частоты, собственные формы колебаний вагона как динамической системы. Разложение вынужденных колебаний в ряд по собственным формам.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2.4 Вынужденные колебания вагона на рессорах с ли</w:t>
            </w:r>
            <w:r w:rsidRPr="004D28B5">
              <w:rPr>
                <w:rFonts w:ascii="Times New Roman" w:hAnsi="Times New Roman" w:cs="Times New Roman"/>
                <w:sz w:val="24"/>
                <w:szCs w:val="24"/>
              </w:rPr>
              <w:softHyphen/>
              <w:t>нейными упругими элементами без трения в подвешивании, с гасителем колебаний вязкого трения. Коэффициент динамической добавки, его зависимость от жесткости подвешивания и гашения колебаний. Критерии для оценки показателей динамических качеств вагона и их нормативные значения.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2.5 Динамические силы, возникающие при движении вагона и действующие на его несущие конструкции. Собственные и вынужденные колебания упругих тел под действием динамической нагрузки. Изгибные колебания балок.</w:t>
            </w:r>
          </w:p>
        </w:tc>
      </w:tr>
      <w:tr w:rsidR="004D28B5" w:rsidRPr="004D28B5" w:rsidTr="00851EFF">
        <w:trPr>
          <w:cantSplit/>
          <w:trHeight w:val="723"/>
        </w:trPr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Колебания колесной пары при движении по рельсам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 xml:space="preserve">3.1 Извилистое движение одиночной колесной пары. Движение колесной пары со скольжением колес по рельсам. Зависимости, определяющие силы в контактном пятне колеса и рельса – силы крипа. Устойчивость колес против схода с рельсов. Критерий </w:t>
            </w:r>
            <w:proofErr w:type="spellStart"/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Надаля</w:t>
            </w:r>
            <w:proofErr w:type="spellEnd"/>
            <w:r w:rsidRPr="004D2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D28B5" w:rsidRPr="004D28B5" w:rsidTr="00B14C63">
        <w:trPr>
          <w:cantSplit/>
          <w:trHeight w:val="2218"/>
        </w:trPr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Колебания вагонов, вызванные действием продольных сил в поезде и при сортировке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4.1 Динамические силы, возникающие при маневровой работе и прохождении сортировочных горок. Динамические силы, возникающие при установившихся и переходных режимах движения поезда.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 xml:space="preserve">Поперечная устойчивость вагона на рессорах. Устойчивость вагона против опрокидывания при движении по кривым. </w:t>
            </w:r>
          </w:p>
        </w:tc>
      </w:tr>
      <w:tr w:rsidR="004D28B5" w:rsidRPr="004D28B5" w:rsidTr="00C37844">
        <w:trPr>
          <w:cantSplit/>
          <w:trHeight w:val="315"/>
        </w:trPr>
        <w:tc>
          <w:tcPr>
            <w:tcW w:w="0" w:type="auto"/>
            <w:gridSpan w:val="3"/>
            <w:shd w:val="clear" w:color="auto" w:fill="auto"/>
          </w:tcPr>
          <w:p w:rsidR="004D28B5" w:rsidRPr="004D28B5" w:rsidRDefault="004D28B5" w:rsidP="004D2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D28B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Модуль 2 «Прочность и устойчивость сжатых конструкций»</w:t>
            </w:r>
          </w:p>
        </w:tc>
      </w:tr>
      <w:tr w:rsidR="004D28B5" w:rsidRPr="004D28B5" w:rsidTr="00851EFF">
        <w:trPr>
          <w:cantSplit/>
          <w:trHeight w:val="431"/>
        </w:trPr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Общие сведения из теории упругости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5.1 Понятие о напряжениях в точке тела. Главные напряжения.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5.2 Основные положения и уравнения теории упругости. Уравнения Ламе.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5.3 Определение эквивалентных напряжений (теории прочности). Нормативные документы в области оценки прочности несущих конструкций вагонов.</w:t>
            </w:r>
          </w:p>
        </w:tc>
      </w:tr>
      <w:tr w:rsidR="004D28B5" w:rsidRPr="004D28B5" w:rsidTr="00851EFF">
        <w:trPr>
          <w:cantSplit/>
          <w:trHeight w:val="431"/>
        </w:trPr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Основные задачи теории упругости, виды напряженно-деформированного состояния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6.1 Прикладные задачи теории упругости. Растяжение и сжатие. Задача Ламе.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6.2 Кручение, изгиб. 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6.3 Напряжения в зонах геометрических концентраторов.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6.4 Расчет устойчивости сжатых конструкций.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6.5 Расчет собственных частот и форм колебаний упругих систем.</w:t>
            </w:r>
          </w:p>
        </w:tc>
      </w:tr>
      <w:tr w:rsidR="004D28B5" w:rsidRPr="004D28B5" w:rsidTr="00851EFF">
        <w:trPr>
          <w:cantSplit/>
          <w:trHeight w:val="937"/>
        </w:trPr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Основы метода конечных элементов для решения задач теории упругости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7.1 Метод конечных элементов. Стержневые и балочные конечные элементы. Пластинчатые и оболочечные конечные элементы. Объемные конечные элементы.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7.2 Свойства материалов. Граничные условия (кинематические и силовые).</w:t>
            </w:r>
          </w:p>
        </w:tc>
      </w:tr>
      <w:tr w:rsidR="004D28B5" w:rsidRPr="004D28B5" w:rsidTr="00F42DB4">
        <w:trPr>
          <w:cantSplit/>
          <w:trHeight w:val="4978"/>
        </w:trPr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sz w:val="24"/>
                <w:szCs w:val="24"/>
              </w:rPr>
              <w:t>Решение задач расчета вагонов с использованием метода конечных элементов</w:t>
            </w:r>
          </w:p>
        </w:tc>
        <w:tc>
          <w:tcPr>
            <w:tcW w:w="0" w:type="auto"/>
            <w:shd w:val="clear" w:color="auto" w:fill="auto"/>
          </w:tcPr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8.1 Расчет конструкций вагонов с использованием стержневых конечно-элементных моделей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8.2 Моделирование стержней переменного сечения</w:t>
            </w:r>
          </w:p>
          <w:p w:rsidR="004D28B5" w:rsidRPr="00230F37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8.3 Расчет конструкций вагонов с использованием пластинчато-стержневых конечно-элементных моделей. Многослойные пластины.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8.4 Расчет котла цистерны на прочность  с использованием пластинчато-стрежневой конечно-элементной модели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8.5 Расчет конструкций вагонов с использованием объемных конечно-элементных моделей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8.6 Расчет конструкций вагонов с использованием объемных конечно-элементных моделей в пакете прикладных программ ANSYSWORKBENCH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8.7 Расчет устойчивости сжатых элементов. Расчет устойчивости котла цистерны</w:t>
            </w:r>
          </w:p>
          <w:p w:rsidR="004D28B5" w:rsidRPr="004D28B5" w:rsidRDefault="004D28B5" w:rsidP="004D28B5">
            <w:pPr>
              <w:shd w:val="clear" w:color="auto" w:fill="FFFFFF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28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8.8 Расчет собственных частот и форм колебаний упругих систем</w:t>
            </w:r>
          </w:p>
        </w:tc>
      </w:tr>
    </w:tbl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230F37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230F37"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230F37">
        <w:rPr>
          <w:rFonts w:ascii="Times New Roman" w:hAnsi="Times New Roman" w:cs="Times New Roman"/>
          <w:sz w:val="24"/>
          <w:szCs w:val="24"/>
        </w:rPr>
        <w:t>1</w:t>
      </w:r>
      <w:r w:rsidR="009F4EC2">
        <w:rPr>
          <w:rFonts w:ascii="Times New Roman" w:hAnsi="Times New Roman" w:cs="Times New Roman"/>
          <w:sz w:val="24"/>
          <w:szCs w:val="24"/>
        </w:rPr>
        <w:t>40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5916D9">
        <w:rPr>
          <w:rFonts w:ascii="Times New Roman" w:hAnsi="Times New Roman" w:cs="Times New Roman"/>
          <w:sz w:val="24"/>
          <w:szCs w:val="24"/>
        </w:rPr>
        <w:t>а</w:t>
      </w:r>
      <w:r w:rsidR="00C37844">
        <w:rPr>
          <w:rFonts w:ascii="Times New Roman" w:hAnsi="Times New Roman" w:cs="Times New Roman"/>
          <w:sz w:val="24"/>
          <w:szCs w:val="24"/>
        </w:rPr>
        <w:t>.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A64964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3760C3">
        <w:rPr>
          <w:rFonts w:ascii="Times New Roman" w:hAnsi="Times New Roman" w:cs="Times New Roman"/>
          <w:sz w:val="24"/>
          <w:szCs w:val="24"/>
        </w:rPr>
        <w:t>6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="004537BC">
        <w:rPr>
          <w:rFonts w:ascii="Times New Roman" w:hAnsi="Times New Roman" w:cs="Times New Roman"/>
          <w:sz w:val="24"/>
          <w:szCs w:val="24"/>
        </w:rPr>
        <w:t xml:space="preserve"> - </w:t>
      </w:r>
      <w:r w:rsidR="002850E5">
        <w:rPr>
          <w:rFonts w:ascii="Times New Roman" w:hAnsi="Times New Roman" w:cs="Times New Roman"/>
          <w:sz w:val="24"/>
          <w:szCs w:val="24"/>
        </w:rPr>
        <w:t>экзамен</w:t>
      </w:r>
      <w:r w:rsidR="007D37CF">
        <w:rPr>
          <w:rFonts w:ascii="Times New Roman" w:hAnsi="Times New Roman" w:cs="Times New Roman"/>
          <w:sz w:val="24"/>
          <w:szCs w:val="24"/>
        </w:rPr>
        <w:t>;</w:t>
      </w:r>
      <w:r w:rsidR="004537BC">
        <w:rPr>
          <w:rFonts w:ascii="Times New Roman" w:hAnsi="Times New Roman" w:cs="Times New Roman"/>
          <w:sz w:val="24"/>
          <w:szCs w:val="24"/>
        </w:rPr>
        <w:t xml:space="preserve"> </w:t>
      </w:r>
      <w:r w:rsidR="003760C3">
        <w:rPr>
          <w:rFonts w:ascii="Times New Roman" w:hAnsi="Times New Roman" w:cs="Times New Roman"/>
          <w:sz w:val="24"/>
          <w:szCs w:val="24"/>
        </w:rPr>
        <w:t>7</w:t>
      </w:r>
      <w:r w:rsidR="004537BC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2850E5">
        <w:rPr>
          <w:rFonts w:ascii="Times New Roman" w:hAnsi="Times New Roman" w:cs="Times New Roman"/>
          <w:sz w:val="24"/>
          <w:szCs w:val="24"/>
        </w:rPr>
        <w:t>зачет</w:t>
      </w:r>
      <w:r w:rsidR="009C70C4">
        <w:rPr>
          <w:rFonts w:ascii="Times New Roman" w:hAnsi="Times New Roman" w:cs="Times New Roman"/>
          <w:sz w:val="24"/>
          <w:szCs w:val="24"/>
        </w:rPr>
        <w:t>; 7 семестр – курсов</w:t>
      </w:r>
      <w:r w:rsidR="00230F37">
        <w:rPr>
          <w:rFonts w:ascii="Times New Roman" w:hAnsi="Times New Roman" w:cs="Times New Roman"/>
          <w:sz w:val="24"/>
          <w:szCs w:val="24"/>
        </w:rPr>
        <w:t>ой проект</w:t>
      </w:r>
      <w:r w:rsidR="00A64964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6B0C"/>
    <w:rsid w:val="000B66D8"/>
    <w:rsid w:val="000C23B7"/>
    <w:rsid w:val="00115990"/>
    <w:rsid w:val="0016412E"/>
    <w:rsid w:val="00176C0D"/>
    <w:rsid w:val="0018685C"/>
    <w:rsid w:val="00192D06"/>
    <w:rsid w:val="001C27F9"/>
    <w:rsid w:val="001D352A"/>
    <w:rsid w:val="001F7A9B"/>
    <w:rsid w:val="00226047"/>
    <w:rsid w:val="00230F37"/>
    <w:rsid w:val="002850E5"/>
    <w:rsid w:val="003075F5"/>
    <w:rsid w:val="003257BF"/>
    <w:rsid w:val="003760C3"/>
    <w:rsid w:val="003879B4"/>
    <w:rsid w:val="003C3D31"/>
    <w:rsid w:val="003E4DF4"/>
    <w:rsid w:val="00403D4E"/>
    <w:rsid w:val="004537BC"/>
    <w:rsid w:val="0045473C"/>
    <w:rsid w:val="004D28B5"/>
    <w:rsid w:val="00554D26"/>
    <w:rsid w:val="0058634F"/>
    <w:rsid w:val="005916D9"/>
    <w:rsid w:val="005A2389"/>
    <w:rsid w:val="005B3624"/>
    <w:rsid w:val="005C4085"/>
    <w:rsid w:val="005F40AF"/>
    <w:rsid w:val="005F7EB2"/>
    <w:rsid w:val="006251D4"/>
    <w:rsid w:val="006277B8"/>
    <w:rsid w:val="00632136"/>
    <w:rsid w:val="006546DD"/>
    <w:rsid w:val="00677863"/>
    <w:rsid w:val="006E419F"/>
    <w:rsid w:val="006E519C"/>
    <w:rsid w:val="006F7692"/>
    <w:rsid w:val="00723430"/>
    <w:rsid w:val="00781391"/>
    <w:rsid w:val="007867BE"/>
    <w:rsid w:val="007903CC"/>
    <w:rsid w:val="007C06CA"/>
    <w:rsid w:val="007D37CF"/>
    <w:rsid w:val="007E32FC"/>
    <w:rsid w:val="007E3C95"/>
    <w:rsid w:val="0080706D"/>
    <w:rsid w:val="00813ADF"/>
    <w:rsid w:val="008F1B4A"/>
    <w:rsid w:val="008F739E"/>
    <w:rsid w:val="00925AF8"/>
    <w:rsid w:val="00927991"/>
    <w:rsid w:val="00960B5F"/>
    <w:rsid w:val="00983C43"/>
    <w:rsid w:val="00986C3D"/>
    <w:rsid w:val="009C70C4"/>
    <w:rsid w:val="009D52E7"/>
    <w:rsid w:val="009F2C18"/>
    <w:rsid w:val="009F4EC2"/>
    <w:rsid w:val="00A3637B"/>
    <w:rsid w:val="00A64964"/>
    <w:rsid w:val="00A76C17"/>
    <w:rsid w:val="00A804FA"/>
    <w:rsid w:val="00AE13A5"/>
    <w:rsid w:val="00BE1581"/>
    <w:rsid w:val="00BE66C6"/>
    <w:rsid w:val="00BF0E1C"/>
    <w:rsid w:val="00C14B71"/>
    <w:rsid w:val="00C226CC"/>
    <w:rsid w:val="00C24BF2"/>
    <w:rsid w:val="00C37844"/>
    <w:rsid w:val="00CA35C1"/>
    <w:rsid w:val="00CB2EEB"/>
    <w:rsid w:val="00CB3E9E"/>
    <w:rsid w:val="00CE5D44"/>
    <w:rsid w:val="00D00295"/>
    <w:rsid w:val="00D06585"/>
    <w:rsid w:val="00D5166C"/>
    <w:rsid w:val="00DB2C52"/>
    <w:rsid w:val="00DC7971"/>
    <w:rsid w:val="00E00D05"/>
    <w:rsid w:val="00EF7E63"/>
    <w:rsid w:val="00F03964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0555-477A-41EF-AA51-7C9EA51A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2017-12-25T11:00:00Z</cp:lastPrinted>
  <dcterms:created xsi:type="dcterms:W3CDTF">2017-12-25T11:01:00Z</dcterms:created>
  <dcterms:modified xsi:type="dcterms:W3CDTF">2017-12-25T11:01:00Z</dcterms:modified>
</cp:coreProperties>
</file>