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5FBB" w:rsidRPr="00085FBB">
        <w:rPr>
          <w:lang w:val="ru-RU"/>
        </w:rPr>
        <w:t xml:space="preserve">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«Пассажирский комплек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 xml:space="preserve">с железнодорожного транспорта»,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1156B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="003118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1"/>
    <w:rsid w:val="00085FBB"/>
    <w:rsid w:val="001156B4"/>
    <w:rsid w:val="003118D4"/>
    <w:rsid w:val="003A2A91"/>
    <w:rsid w:val="008634E2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 "Экономика транспорта"</cp:lastModifiedBy>
  <cp:revision>4</cp:revision>
  <dcterms:created xsi:type="dcterms:W3CDTF">2017-11-10T15:57:00Z</dcterms:created>
  <dcterms:modified xsi:type="dcterms:W3CDTF">2017-11-13T07:24:00Z</dcterms:modified>
</cp:coreProperties>
</file>