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543EC" w:rsidRPr="00CA20DB" w:rsidRDefault="00104973" w:rsidP="001543EC">
      <w:pPr>
        <w:jc w:val="center"/>
        <w:rPr>
          <w:rFonts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543EC" w:rsidRPr="00CA20DB">
        <w:rPr>
          <w:rFonts w:cs="Times New Roman"/>
          <w:sz w:val="28"/>
          <w:szCs w:val="28"/>
        </w:rPr>
        <w:t xml:space="preserve">Подъемно-транспортные, путевые, строительные и дорожные </w:t>
      </w:r>
    </w:p>
    <w:p w:rsidR="00104973" w:rsidRPr="00104973" w:rsidRDefault="001543EC" w:rsidP="001543E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A20DB">
        <w:rPr>
          <w:rFonts w:cs="Times New Roman"/>
          <w:sz w:val="28"/>
          <w:szCs w:val="28"/>
        </w:rPr>
        <w:t>машины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414">
        <w:rPr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Б1.Б.32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23.05.01 </w:t>
      </w:r>
      <w:r w:rsidR="00DD4878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DD487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«Подъемно-транспортные, строительные, дорожные средства и оборудование»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7A1D2E">
        <w:rPr>
          <w:rFonts w:eastAsia="Times New Roman" w:cs="Times New Roman"/>
          <w:sz w:val="28"/>
          <w:szCs w:val="28"/>
          <w:lang w:eastAsia="ru-RU"/>
        </w:rPr>
        <w:t>9</w:t>
      </w:r>
    </w:p>
    <w:p w:rsidR="007A1D2E" w:rsidRDefault="007A1D2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A1D2E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2309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12356"/>
            <wp:effectExtent l="19050" t="0" r="3175" b="0"/>
            <wp:docPr id="8" name="Рисунок 3" descr="C:\Users\Ян\AppData\Local\Microsoft\Windows\INetCache\Content.Word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\AppData\Local\Microsoft\Windows\INetCache\Content.Word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3093" w:rsidRPr="00104973" w:rsidRDefault="003230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35FF5">
      <w:pPr>
        <w:spacing w:after="0"/>
        <w:ind w:left="-284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Pr="0087558A">
        <w:rPr>
          <w:rFonts w:eastAsia="Times New Roman" w:cs="Times New Roman"/>
          <w:sz w:val="28"/>
          <w:szCs w:val="28"/>
          <w:lang w:eastAsia="ru-RU"/>
        </w:rPr>
        <w:t>1</w:t>
      </w:r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r w:rsidRPr="0087558A">
        <w:rPr>
          <w:rFonts w:eastAsia="Times New Roman" w:cs="Times New Roman"/>
          <w:sz w:val="28"/>
          <w:szCs w:val="28"/>
          <w:lang w:eastAsia="ru-RU"/>
        </w:rPr>
        <w:t>.</w:t>
      </w:r>
      <w:r w:rsidR="00A96414">
        <w:rPr>
          <w:rFonts w:eastAsia="Times New Roman" w:cs="Times New Roman"/>
          <w:sz w:val="28"/>
          <w:szCs w:val="28"/>
          <w:lang w:eastAsia="ru-RU"/>
        </w:rPr>
        <w:t>08</w:t>
      </w:r>
      <w:r w:rsidRPr="0087558A">
        <w:rPr>
          <w:rFonts w:eastAsia="Times New Roman" w:cs="Times New Roman"/>
          <w:sz w:val="28"/>
          <w:szCs w:val="28"/>
          <w:lang w:eastAsia="ru-RU"/>
        </w:rPr>
        <w:t>.2016 № 1</w:t>
      </w:r>
      <w:r w:rsidR="00A96414">
        <w:rPr>
          <w:rFonts w:eastAsia="Times New Roman" w:cs="Times New Roman"/>
          <w:sz w:val="28"/>
          <w:szCs w:val="28"/>
          <w:lang w:eastAsia="ru-RU"/>
        </w:rPr>
        <w:t>022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558A">
        <w:rPr>
          <w:sz w:val="28"/>
          <w:szCs w:val="28"/>
        </w:rPr>
        <w:t xml:space="preserve"> по специальности  23.05.0</w:t>
      </w:r>
      <w:r w:rsidR="00A96414">
        <w:rPr>
          <w:sz w:val="28"/>
          <w:szCs w:val="28"/>
        </w:rPr>
        <w:t>1</w:t>
      </w:r>
      <w:r w:rsidRPr="0087558A">
        <w:rPr>
          <w:sz w:val="28"/>
          <w:szCs w:val="28"/>
        </w:rPr>
        <w:t xml:space="preserve">  «</w:t>
      </w:r>
      <w:r w:rsidR="00A96414" w:rsidRPr="00A96414">
        <w:rPr>
          <w:caps/>
          <w:sz w:val="28"/>
          <w:szCs w:val="28"/>
        </w:rPr>
        <w:t>Наземные транспортно-технологические средства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A96414" w:rsidRPr="00A96414">
        <w:rPr>
          <w:caps/>
          <w:color w:val="000000"/>
          <w:sz w:val="28"/>
          <w:szCs w:val="28"/>
        </w:rPr>
        <w:t>Подъемно-транспортные, строительные, дорожные средства и оборудование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="00A96414">
        <w:rPr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 w:rsidR="00A96414">
        <w:rPr>
          <w:bCs/>
          <w:sz w:val="28"/>
          <w:szCs w:val="28"/>
        </w:rPr>
        <w:t>подъемно-транспортных, строительных, дорожных средств и оборудования</w:t>
      </w:r>
      <w:r>
        <w:rPr>
          <w:color w:val="000000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 w:rsidR="00A50FEA">
        <w:rPr>
          <w:sz w:val="28"/>
          <w:szCs w:val="28"/>
        </w:rPr>
        <w:t>подъемно-транспортных машин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A50FEA">
        <w:rPr>
          <w:sz w:val="28"/>
          <w:szCs w:val="28"/>
        </w:rPr>
        <w:t xml:space="preserve">подъемно-транспортных машин </w:t>
      </w:r>
      <w:r w:rsidR="00A50FEA" w:rsidRPr="00631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D7668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наименование вида/видов профессиональной деятельности в соответствии с ФГОС ВО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BB5C2B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но-</w:t>
      </w:r>
      <w:r>
        <w:rPr>
          <w:rFonts w:eastAsia="Times New Roman" w:cs="Times New Roman"/>
          <w:i/>
          <w:sz w:val="28"/>
          <w:szCs w:val="28"/>
          <w:lang w:eastAsia="ru-RU"/>
        </w:rPr>
        <w:t>конструктор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ская деятельность</w:t>
      </w:r>
    </w:p>
    <w:p w:rsidR="00BB5C2B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способностью </w:t>
      </w:r>
      <w:r w:rsidR="00BB5C2B">
        <w:rPr>
          <w:rFonts w:eastAsia="Times New Roman" w:cs="Times New Roman"/>
          <w:sz w:val="28"/>
          <w:szCs w:val="28"/>
          <w:lang w:eastAsia="ru-RU"/>
        </w:rPr>
        <w:t>использовать прикладные программы расчета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B5C2B">
        <w:rPr>
          <w:rFonts w:eastAsia="Times New Roman" w:cs="Times New Roman"/>
          <w:sz w:val="28"/>
          <w:szCs w:val="28"/>
          <w:lang w:eastAsia="ru-RU"/>
        </w:rPr>
        <w:t xml:space="preserve"> узлов, агрегатов и систем транспортно-технологических средств и их технологического оборудования </w:t>
      </w:r>
      <w:r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BB5C2B">
        <w:rPr>
          <w:rFonts w:eastAsia="Times New Roman" w:cs="Times New Roman"/>
          <w:sz w:val="28"/>
          <w:szCs w:val="28"/>
          <w:lang w:eastAsia="ru-RU"/>
        </w:rPr>
        <w:t>;</w:t>
      </w:r>
    </w:p>
    <w:p w:rsidR="00D76689" w:rsidRDefault="001E4B88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наземных транспортно-технологических средств и их технологического оборудования </w:t>
      </w:r>
      <w:r w:rsidR="00BB5C2B"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7)</w:t>
      </w:r>
      <w:r w:rsidR="00D7668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96414">
        <w:rPr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Б1.Б.32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D5CF5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D76689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A78" w:rsidRPr="00104973" w:rsidRDefault="00192A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104973" w:rsidRDefault="00897198" w:rsidP="0089719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97198" w:rsidRPr="001677F9" w:rsidTr="00BA5192">
        <w:trPr>
          <w:jc w:val="center"/>
        </w:trPr>
        <w:tc>
          <w:tcPr>
            <w:tcW w:w="5353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7198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897198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353" w:rsidRPr="001677F9" w:rsidTr="00BA5192">
        <w:trPr>
          <w:jc w:val="center"/>
        </w:trPr>
        <w:tc>
          <w:tcPr>
            <w:tcW w:w="5353" w:type="dxa"/>
            <w:vAlign w:val="center"/>
          </w:tcPr>
          <w:p w:rsidR="00E74353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Коньроль</w:t>
            </w:r>
            <w:proofErr w:type="spellEnd"/>
          </w:p>
        </w:tc>
        <w:tc>
          <w:tcPr>
            <w:tcW w:w="2126" w:type="dxa"/>
            <w:vAlign w:val="center"/>
          </w:tcPr>
          <w:p w:rsidR="00E74353" w:rsidRDefault="00E74353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74353" w:rsidRDefault="00E74353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897198" w:rsidRPr="00104973" w:rsidRDefault="00897198" w:rsidP="0089719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0B80" w:rsidRDefault="008F0B80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Pr="00104973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192A78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8D5CF5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8D5C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  <w:r w:rsidR="008D5CF5">
        <w:rPr>
          <w:rFonts w:eastAsia="Times New Roman" w:cs="Times New Roman"/>
          <w:i/>
          <w:sz w:val="28"/>
          <w:szCs w:val="28"/>
          <w:lang w:eastAsia="ru-RU"/>
        </w:rPr>
        <w:t>, КЛР – контрольная работа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192A78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Разработка моделей объектов с использованием методов </w:t>
            </w:r>
            <w:r w:rsidRPr="00171220">
              <w:lastRenderedPageBreak/>
              <w:t>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r w:rsidRPr="00171220">
              <w:lastRenderedPageBreak/>
              <w:t xml:space="preserve">Интегрированные CAD/CAM системы; разработка параметрических моделей объектов проектирования в плоской, объемной, линейной и нелинейной </w:t>
            </w:r>
            <w:r w:rsidRPr="00171220">
              <w:lastRenderedPageBreak/>
              <w:t>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192A7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D535DD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 xml:space="preserve">История развития САПР,  CAD/CAE/CAM/PDM и PLM систем. Основные понятия. Единое информационное </w:t>
            </w:r>
            <w:r w:rsidRPr="00171220">
              <w:lastRenderedPageBreak/>
              <w:t>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74353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434C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74353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97198" w:rsidRDefault="00897198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E74353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7198" w:rsidRPr="001677F9" w:rsidTr="00BA5192">
        <w:trPr>
          <w:jc w:val="center"/>
        </w:trPr>
        <w:tc>
          <w:tcPr>
            <w:tcW w:w="5524" w:type="dxa"/>
            <w:gridSpan w:val="2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97198" w:rsidRPr="001677F9" w:rsidRDefault="00E30232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97198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31730A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192A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6D53" w:rsidRDefault="00B86D53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192A78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Pr="009F761D" w:rsidRDefault="003C1893" w:rsidP="00C43312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Simulation.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lastRenderedPageBreak/>
              <w:t>Max</w:t>
            </w:r>
            <w:r>
              <w:t xml:space="preserve">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  <w:p w:rsidR="00E67378" w:rsidRPr="009F761D" w:rsidRDefault="00F9640E" w:rsidP="0029034A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 xml:space="preserve">. /Ватулин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>. Ун-т путей сообщения, 2015. – 27 с.;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192A78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2010. - 783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указ.: с. 771-783. - 500 экз. - ISBN 978-5-94074-582-2</w:t>
            </w:r>
          </w:p>
          <w:p w:rsidR="00F9640E" w:rsidRDefault="00F9640E" w:rsidP="00192A78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Simulation.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</w:p>
          <w:p w:rsidR="00E67378" w:rsidRDefault="00E67378" w:rsidP="0029034A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 xml:space="preserve">: Метод. указ. / Я.С. Ватулин., М.С. Коровина,  Ю.В. Попов. — СПБ. </w:t>
            </w:r>
            <w:r>
              <w:t xml:space="preserve">: </w:t>
            </w:r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 xml:space="preserve">)/ Часть 1. / Ватулин Я.С., Копылов А.З., Орлов С.В. Метод. указ., </w:t>
            </w:r>
            <w:proofErr w:type="spellStart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A0484E" w:rsidRDefault="00A0484E" w:rsidP="00A0484E">
            <w:pPr>
              <w:spacing w:after="0" w:line="240" w:lineRule="auto"/>
              <w:ind w:firstLine="851"/>
              <w:jc w:val="both"/>
            </w:pP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с.; </w:t>
            </w:r>
          </w:p>
          <w:p w:rsidR="00A0484E" w:rsidRDefault="00A0484E" w:rsidP="00A0484E">
            <w:pPr>
              <w:jc w:val="both"/>
            </w:pPr>
          </w:p>
          <w:p w:rsidR="00A0484E" w:rsidRPr="00E21029" w:rsidRDefault="00A0484E" w:rsidP="00A0484E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/Ватулин Я.С., Майоров В.С.Метод.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>. Ун-т путей сообщения, 2015. – 13 с.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D3010D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 xml:space="preserve">, Виктор Александрович. Компьютерное проектирование деталей машин : учеб. пособие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 : ил.</w:t>
            </w:r>
          </w:p>
          <w:p w:rsidR="00F9640E" w:rsidRDefault="00F9640E" w:rsidP="00D3010D">
            <w:pPr>
              <w:spacing w:after="160" w:line="259" w:lineRule="auto"/>
              <w:jc w:val="both"/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: учеб. пособие / Я.С. Ватулин. – СПБ. : Петербургский государственный университет путей сообщения, 2011. – 40 с. </w:t>
            </w:r>
          </w:p>
          <w:p w:rsidR="00A0484E" w:rsidRDefault="00A0484E" w:rsidP="00A0484E">
            <w:pPr>
              <w:spacing w:after="0" w:line="240" w:lineRule="auto"/>
              <w:jc w:val="both"/>
            </w:pPr>
          </w:p>
          <w:p w:rsidR="00A0484E" w:rsidRPr="00E21029" w:rsidRDefault="00A0484E" w:rsidP="00A0484E">
            <w:pPr>
              <w:spacing w:after="160" w:line="259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>: учеб. пособие / Я.С. Ватулин. – СПБ. : Петербургский государственный университет путей сообщения, 2012. – 36 с.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0B80" w:rsidRDefault="008F0B80" w:rsidP="008F0B80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bCs/>
          <w:szCs w:val="24"/>
        </w:rPr>
        <w:t xml:space="preserve">СИСТЕМЫ АВТОМАТИЗИРОВАННОГО ПРОЕКТИРОВАНИЯ ПОДЪЕМНО-ТРАНСПОРТНЫХ, </w:t>
      </w:r>
      <w:r>
        <w:rPr>
          <w:bCs/>
          <w:szCs w:val="24"/>
        </w:rPr>
        <w:lastRenderedPageBreak/>
        <w:t>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1. Автоматизированное проектирование в ИПИ – технологиях: учеб. пособие /Я.С. Ватулин, С.Г. </w:t>
      </w:r>
      <w:proofErr w:type="spellStart"/>
      <w:r w:rsidRPr="005C688A">
        <w:rPr>
          <w:szCs w:val="24"/>
        </w:rPr>
        <w:t>Подклетнов</w:t>
      </w:r>
      <w:proofErr w:type="spellEnd"/>
      <w:r w:rsidRPr="005C688A">
        <w:rPr>
          <w:szCs w:val="24"/>
        </w:rPr>
        <w:t xml:space="preserve">, В.В. </w:t>
      </w:r>
      <w:proofErr w:type="spellStart"/>
      <w:r w:rsidRPr="005C688A">
        <w:rPr>
          <w:szCs w:val="24"/>
        </w:rPr>
        <w:t>Свитин</w:t>
      </w:r>
      <w:proofErr w:type="spellEnd"/>
      <w:r w:rsidRPr="005C688A">
        <w:rPr>
          <w:szCs w:val="24"/>
        </w:rPr>
        <w:t xml:space="preserve"> и др. – СПб.: Петербургский государственный университет путей сообщения, 2010 – 126 с. </w:t>
      </w:r>
      <w:r w:rsidR="005278BA" w:rsidRPr="005C688A">
        <w:rPr>
          <w:szCs w:val="24"/>
        </w:rPr>
        <w:t>230 экз.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2.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 xml:space="preserve">, Андрей Александрович. </w:t>
      </w:r>
      <w:proofErr w:type="spellStart"/>
      <w:r w:rsidRPr="005C688A">
        <w:rPr>
          <w:szCs w:val="24"/>
        </w:rPr>
        <w:t>COSMOSWorks</w:t>
      </w:r>
      <w:proofErr w:type="spellEnd"/>
      <w:r w:rsidRPr="005C688A">
        <w:rPr>
          <w:szCs w:val="24"/>
        </w:rPr>
        <w:t xml:space="preserve">. Основы расчета конструкций на прочность в среде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 xml:space="preserve">] :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 xml:space="preserve">. - М. : ДМК Пресс, 2010. - 783 с. : ил. ; 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указ.: с. 771-783. - 500 экз. - ISBN 978-5-94074-582-2</w:t>
      </w:r>
      <w:r w:rsidR="005278BA" w:rsidRPr="005C688A">
        <w:rPr>
          <w:szCs w:val="24"/>
        </w:rPr>
        <w:t xml:space="preserve">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/1318</w:t>
      </w:r>
      <w:r w:rsidRPr="005C688A">
        <w:rPr>
          <w:szCs w:val="24"/>
        </w:rPr>
        <w:t xml:space="preserve">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3.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Simulation. Инженерный анализ для профессионалов: задачи, методы, рекомендации.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 xml:space="preserve">] :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 xml:space="preserve">. - М. : ДМК Пресс, 2015. - 562 с. : ил. ; 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 xml:space="preserve">. указ.: с. 771-783. - ISBN 978-5-94060-140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/69953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Pr="005278BA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  <w:r w:rsidR="005278BA" w:rsidRPr="005278BA">
        <w:t xml:space="preserve">99 </w:t>
      </w:r>
      <w:r w:rsidR="005278BA">
        <w:t>экз.</w:t>
      </w:r>
    </w:p>
    <w:p w:rsidR="00F9640E" w:rsidRDefault="009E6975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 xml:space="preserve">, Виктор Александрович. Компьютерное проектирование деталей машин : учеб. пособие / В. А. </w:t>
      </w:r>
      <w:proofErr w:type="spellStart"/>
      <w:r w:rsidR="00F9640E">
        <w:t>Шаханов</w:t>
      </w:r>
      <w:proofErr w:type="spellEnd"/>
      <w:r w:rsidR="00F9640E">
        <w:t xml:space="preserve">. - СПб. : ПГУПС, 2010. - 44 с. : ил. </w:t>
      </w:r>
      <w:r w:rsidR="005278BA">
        <w:t>70 экз.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Ватулин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  <w:r w:rsidR="005278BA">
        <w:t xml:space="preserve">77 </w:t>
      </w:r>
      <w:proofErr w:type="spellStart"/>
      <w:r w:rsidR="005278BA">
        <w:t>экз</w:t>
      </w:r>
      <w:proofErr w:type="spellEnd"/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  <w:r w:rsidR="005278BA">
        <w:t>90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указ., </w:t>
      </w:r>
      <w:proofErr w:type="spellStart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  <w:r w:rsidR="005278BA">
        <w:t>102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Елисеев Н.А., </w:t>
      </w:r>
      <w:proofErr w:type="spellStart"/>
      <w:r>
        <w:t>Параскевопуло</w:t>
      </w:r>
      <w:proofErr w:type="spellEnd"/>
      <w:r>
        <w:t xml:space="preserve"> Ю.Г.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/Ватулин Я.С., Майоров В.С.Метод.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с.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: учеб. пособие / Я.С. Ватулин. – СПБ. : Петербургский государственный университет путей сообщения, 2011. – 40 с. </w:t>
      </w:r>
      <w:r w:rsidR="005278BA">
        <w:t>50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 xml:space="preserve">: учеб. пособие / Я.С. Ватулин. – СПБ. : Петербургский государственный университет путей сообщения, 2012. – 36 с. </w:t>
      </w:r>
      <w:r w:rsidR="005278BA">
        <w:t>101 экз.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экрана.;</w:t>
      </w: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программно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0456D6" w:rsidRPr="004469DD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4469DD">
        <w:rPr>
          <w:bCs/>
          <w:sz w:val="28"/>
          <w:szCs w:val="28"/>
          <w:lang w:val="en-US"/>
        </w:rPr>
        <w:t>Microsoft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Power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Point</w:t>
      </w:r>
      <w:r w:rsidRPr="004469DD">
        <w:rPr>
          <w:bCs/>
          <w:sz w:val="28"/>
          <w:szCs w:val="28"/>
        </w:rPr>
        <w:t xml:space="preserve"> 2010</w:t>
      </w:r>
      <w:r w:rsidR="005C688A"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0456D6" w:rsidRPr="00513827" w:rsidRDefault="000456D6" w:rsidP="000456D6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04973" w:rsidRPr="00104973" w:rsidRDefault="0032309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53975</wp:posOffset>
            </wp:positionV>
            <wp:extent cx="695325" cy="1076325"/>
            <wp:effectExtent l="19050" t="0" r="9525" b="0"/>
            <wp:wrapNone/>
            <wp:docPr id="9" name="Рисунок 2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>Я.С. Ватулин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323093" w:rsidP="00E74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A20DB">
              <w:rPr>
                <w:rFonts w:cs="Times New Roman"/>
                <w:sz w:val="28"/>
                <w:szCs w:val="28"/>
              </w:rPr>
              <w:t>«26»   марта  2019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525F67" w:rsidRPr="0074461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sectPr w:rsidR="00525F67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133"/>
    <w:rsid w:val="000456D6"/>
    <w:rsid w:val="00062F36"/>
    <w:rsid w:val="000E1457"/>
    <w:rsid w:val="00104973"/>
    <w:rsid w:val="001356A1"/>
    <w:rsid w:val="00145133"/>
    <w:rsid w:val="001515C9"/>
    <w:rsid w:val="001543EC"/>
    <w:rsid w:val="001679F7"/>
    <w:rsid w:val="00192A78"/>
    <w:rsid w:val="001A7CF3"/>
    <w:rsid w:val="001E4B88"/>
    <w:rsid w:val="001E6715"/>
    <w:rsid w:val="002316CF"/>
    <w:rsid w:val="0029034A"/>
    <w:rsid w:val="0031730A"/>
    <w:rsid w:val="00323093"/>
    <w:rsid w:val="00331EE9"/>
    <w:rsid w:val="00337985"/>
    <w:rsid w:val="003B05AE"/>
    <w:rsid w:val="003B1150"/>
    <w:rsid w:val="003C1893"/>
    <w:rsid w:val="003F2D5D"/>
    <w:rsid w:val="00414FAB"/>
    <w:rsid w:val="004374AE"/>
    <w:rsid w:val="00461115"/>
    <w:rsid w:val="00481D73"/>
    <w:rsid w:val="004B17AF"/>
    <w:rsid w:val="004C06C0"/>
    <w:rsid w:val="004C1F79"/>
    <w:rsid w:val="004F3B42"/>
    <w:rsid w:val="00525F67"/>
    <w:rsid w:val="005278BA"/>
    <w:rsid w:val="00536F28"/>
    <w:rsid w:val="00566189"/>
    <w:rsid w:val="005C688A"/>
    <w:rsid w:val="005E36BF"/>
    <w:rsid w:val="00673481"/>
    <w:rsid w:val="0067672C"/>
    <w:rsid w:val="00685277"/>
    <w:rsid w:val="00685BFB"/>
    <w:rsid w:val="006C4DB3"/>
    <w:rsid w:val="00744617"/>
    <w:rsid w:val="007A1D2E"/>
    <w:rsid w:val="007B19F4"/>
    <w:rsid w:val="007F144C"/>
    <w:rsid w:val="00827542"/>
    <w:rsid w:val="00897198"/>
    <w:rsid w:val="008D5CF5"/>
    <w:rsid w:val="008F0B80"/>
    <w:rsid w:val="008F7550"/>
    <w:rsid w:val="00906AD3"/>
    <w:rsid w:val="00963776"/>
    <w:rsid w:val="009E6975"/>
    <w:rsid w:val="00A046E5"/>
    <w:rsid w:val="00A0483F"/>
    <w:rsid w:val="00A0484E"/>
    <w:rsid w:val="00A2687A"/>
    <w:rsid w:val="00A41DB2"/>
    <w:rsid w:val="00A50FEA"/>
    <w:rsid w:val="00A83B4A"/>
    <w:rsid w:val="00A96414"/>
    <w:rsid w:val="00AD1F81"/>
    <w:rsid w:val="00B45956"/>
    <w:rsid w:val="00B86D53"/>
    <w:rsid w:val="00BA5096"/>
    <w:rsid w:val="00BB5C2B"/>
    <w:rsid w:val="00BF48B5"/>
    <w:rsid w:val="00C43312"/>
    <w:rsid w:val="00CA314D"/>
    <w:rsid w:val="00CB310B"/>
    <w:rsid w:val="00CD7814"/>
    <w:rsid w:val="00D3010D"/>
    <w:rsid w:val="00D601A1"/>
    <w:rsid w:val="00D76689"/>
    <w:rsid w:val="00D96C21"/>
    <w:rsid w:val="00D96E0F"/>
    <w:rsid w:val="00DA36F1"/>
    <w:rsid w:val="00DC2496"/>
    <w:rsid w:val="00DC5FFB"/>
    <w:rsid w:val="00DD4164"/>
    <w:rsid w:val="00DD4878"/>
    <w:rsid w:val="00E30232"/>
    <w:rsid w:val="00E35FF5"/>
    <w:rsid w:val="00E4200A"/>
    <w:rsid w:val="00E420CC"/>
    <w:rsid w:val="00E434C8"/>
    <w:rsid w:val="00E446B0"/>
    <w:rsid w:val="00E540B0"/>
    <w:rsid w:val="00E55E7C"/>
    <w:rsid w:val="00E63C28"/>
    <w:rsid w:val="00E67378"/>
    <w:rsid w:val="00E74353"/>
    <w:rsid w:val="00E962F9"/>
    <w:rsid w:val="00ED403B"/>
    <w:rsid w:val="00EF61AC"/>
    <w:rsid w:val="00F05E95"/>
    <w:rsid w:val="00F067E5"/>
    <w:rsid w:val="00F616BE"/>
    <w:rsid w:val="00F65975"/>
    <w:rsid w:val="00F94EA5"/>
    <w:rsid w:val="00F9640E"/>
    <w:rsid w:val="00FA49E5"/>
    <w:rsid w:val="00FB4545"/>
    <w:rsid w:val="00FC52CF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8D7A-0E1A-48BB-A583-2D5622FD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yan</cp:lastModifiedBy>
  <cp:revision>72</cp:revision>
  <cp:lastPrinted>2017-11-10T12:59:00Z</cp:lastPrinted>
  <dcterms:created xsi:type="dcterms:W3CDTF">2016-09-14T10:38:00Z</dcterms:created>
  <dcterms:modified xsi:type="dcterms:W3CDTF">2019-05-30T12:20:00Z</dcterms:modified>
</cp:coreProperties>
</file>