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7E4683">
        <w:rPr>
          <w:szCs w:val="24"/>
        </w:rPr>
        <w:t>ь</w:t>
      </w:r>
      <w:r>
        <w:rPr>
          <w:szCs w:val="24"/>
        </w:rPr>
        <w:t xml:space="preserve"> – </w:t>
      </w:r>
      <w:r w:rsidR="00D85511">
        <w:rPr>
          <w:noProof/>
          <w:szCs w:val="24"/>
        </w:rPr>
        <w:t>«</w:t>
      </w:r>
      <w:r w:rsidR="00D13034">
        <w:rPr>
          <w:noProof/>
          <w:szCs w:val="24"/>
        </w:rPr>
        <w:t>Логистика</w:t>
      </w:r>
      <w:r w:rsidR="00D85511">
        <w:rPr>
          <w:noProof/>
          <w:szCs w:val="24"/>
        </w:rPr>
        <w:t>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481BBF">
        <w:rPr>
          <w:szCs w:val="24"/>
        </w:rPr>
        <w:t>пункте 3</w:t>
      </w:r>
      <w:r w:rsidR="00D85511">
        <w:rPr>
          <w:szCs w:val="24"/>
        </w:rPr>
        <w:t xml:space="preserve"> </w:t>
      </w:r>
      <w:r w:rsidR="00481BBF">
        <w:rPr>
          <w:szCs w:val="24"/>
        </w:rPr>
        <w:t>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</w:t>
      </w:r>
      <w:r w:rsidR="00D85511">
        <w:rPr>
          <w:szCs w:val="24"/>
        </w:rPr>
        <w:t xml:space="preserve"> </w:t>
      </w:r>
      <w:r w:rsidR="00A86F00">
        <w:rPr>
          <w:szCs w:val="24"/>
        </w:rPr>
        <w:t>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A86F00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историю развития менеджмента, характерные черты на современном этапе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инструменты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методы планирования, мотивации, контроля персонала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модели, процесс принятия и реализации управленческих решений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основы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3A2845" w:rsidRDefault="003A2845" w:rsidP="00FB56AE">
      <w:pPr>
        <w:pStyle w:val="a4"/>
        <w:rPr>
          <w:noProof/>
        </w:rPr>
      </w:pPr>
      <w:r>
        <w:rPr>
          <w:noProof/>
        </w:rPr>
        <w:t>применять понятийно и катег</w:t>
      </w:r>
      <w:r w:rsidR="001662FC">
        <w:rPr>
          <w:noProof/>
        </w:rPr>
        <w:t>о</w:t>
      </w:r>
      <w:bookmarkStart w:id="0" w:name="_GoBack"/>
      <w:bookmarkEnd w:id="0"/>
      <w:r>
        <w:rPr>
          <w:noProof/>
        </w:rPr>
        <w:t>риальный аппарат в профессиональной</w:t>
      </w:r>
      <w:r w:rsidR="00356717">
        <w:rPr>
          <w:noProof/>
        </w:rPr>
        <w:t xml:space="preserve"> </w:t>
      </w:r>
      <w:r>
        <w:rPr>
          <w:noProof/>
        </w:rPr>
        <w:t>деятельности;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анализировать внешнюю и внутреннюю среду организации, обосновывать выводы и формулировать предложения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использовать на практике методы планирования, мотивации, контроля в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принимать эффективные решения, используя методы управления, модели принятия решений</w:t>
      </w:r>
      <w:r w:rsidR="003A2845">
        <w:rPr>
          <w:noProof/>
        </w:rPr>
        <w:t>;</w:t>
      </w:r>
    </w:p>
    <w:p w:rsidR="003A2845" w:rsidRDefault="00FB56AE" w:rsidP="00FB56AE">
      <w:pPr>
        <w:pStyle w:val="a4"/>
      </w:pPr>
      <w:r w:rsidRPr="00CC552F">
        <w:rPr>
          <w:noProof/>
        </w:rPr>
        <w:t xml:space="preserve">применять </w:t>
      </w:r>
      <w:r w:rsidR="003A2845">
        <w:rPr>
          <w:noProof/>
        </w:rPr>
        <w:t>в профессиональной деятельности приемы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</w:t>
      </w:r>
      <w:r w:rsidR="00A86F00">
        <w:rPr>
          <w:noProof/>
        </w:rPr>
        <w:t>ами</w:t>
      </w:r>
      <w:r w:rsidRPr="00CC552F">
        <w:rPr>
          <w:noProof/>
        </w:rPr>
        <w:t xml:space="preserve"> </w:t>
      </w:r>
      <w:r w:rsidR="003A2845">
        <w:rPr>
          <w:noProof/>
        </w:rPr>
        <w:t>анализа внешней и внутренней среды</w:t>
      </w:r>
      <w:r w:rsidR="00A86F00">
        <w:rPr>
          <w:noProof/>
        </w:rPr>
        <w:t xml:space="preserve"> организации</w:t>
      </w:r>
      <w:r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методами </w:t>
      </w:r>
      <w:r w:rsidR="00A86F00">
        <w:rPr>
          <w:noProof/>
        </w:rPr>
        <w:t>планирования,</w:t>
      </w:r>
      <w:r w:rsidRPr="00CC552F">
        <w:rPr>
          <w:noProof/>
        </w:rPr>
        <w:t>мотивации</w:t>
      </w:r>
      <w:r w:rsidR="00A86F00"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 w:rsidR="00A86F00"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FB56AE" w:rsidRDefault="00CE5BF9" w:rsidP="00FB56AE">
      <w:pPr>
        <w:pStyle w:val="a4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="00FB56AE" w:rsidRPr="00CC552F">
        <w:rPr>
          <w:noProof/>
        </w:rPr>
        <w:t>;</w:t>
      </w:r>
    </w:p>
    <w:p w:rsidR="003A2845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навыками </w:t>
      </w:r>
      <w:r w:rsidR="003A2845">
        <w:rPr>
          <w:noProof/>
        </w:rPr>
        <w:t>делового общения и публичной речи.</w:t>
      </w:r>
    </w:p>
    <w:p w:rsidR="003A2845" w:rsidRDefault="003A2845" w:rsidP="00FB56AE">
      <w:pPr>
        <w:keepNext/>
        <w:spacing w:after="0" w:line="240" w:lineRule="auto"/>
        <w:jc w:val="both"/>
        <w:rPr>
          <w:b/>
          <w:szCs w:val="24"/>
        </w:r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356717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="00FB56AE"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lastRenderedPageBreak/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Default="007C4CF5" w:rsidP="007C4CF5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CE5BF9" w:rsidRPr="000827A0" w:rsidRDefault="00CE5BF9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Default="00CE5BF9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CE5BF9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BF214B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noProof/>
          <w:szCs w:val="24"/>
        </w:rPr>
        <w:t>4</w:t>
      </w:r>
      <w:r>
        <w:rPr>
          <w:szCs w:val="24"/>
        </w:rPr>
        <w:t xml:space="preserve"> зачетных единиц (</w:t>
      </w:r>
      <w:r w:rsidRPr="00CC552F">
        <w:rPr>
          <w:noProof/>
          <w:szCs w:val="24"/>
        </w:rPr>
        <w:t>1</w:t>
      </w:r>
      <w:r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>
        <w:rPr>
          <w:noProof/>
          <w:szCs w:val="24"/>
        </w:rPr>
        <w:t>10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noProof/>
          <w:szCs w:val="24"/>
        </w:rPr>
        <w:t>119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экзамен</w:t>
      </w:r>
      <w:r>
        <w:rPr>
          <w:noProof/>
          <w:szCs w:val="24"/>
        </w:rPr>
        <w:t>, курсовой проект.</w:t>
      </w:r>
      <w:r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</w:p>
    <w:sectPr w:rsidR="0035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FB" w:rsidRDefault="008A46FB" w:rsidP="00FB56AE">
      <w:pPr>
        <w:spacing w:after="0" w:line="240" w:lineRule="auto"/>
      </w:pPr>
      <w:r>
        <w:separator/>
      </w:r>
    </w:p>
  </w:endnote>
  <w:endnote w:type="continuationSeparator" w:id="0">
    <w:p w:rsidR="008A46FB" w:rsidRDefault="008A46FB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FB" w:rsidRDefault="008A46FB" w:rsidP="00FB56AE">
      <w:pPr>
        <w:spacing w:after="0" w:line="240" w:lineRule="auto"/>
      </w:pPr>
      <w:r>
        <w:separator/>
      </w:r>
    </w:p>
  </w:footnote>
  <w:footnote w:type="continuationSeparator" w:id="0">
    <w:p w:rsidR="008A46FB" w:rsidRDefault="008A46FB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62FC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B54CD"/>
    <w:rsid w:val="002C05A4"/>
    <w:rsid w:val="002C20AA"/>
    <w:rsid w:val="002C3B40"/>
    <w:rsid w:val="002C77C6"/>
    <w:rsid w:val="002D1848"/>
    <w:rsid w:val="002D1EFE"/>
    <w:rsid w:val="002D41CA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56717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2845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AB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1BBF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1896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5893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4CF5"/>
    <w:rsid w:val="007C66AC"/>
    <w:rsid w:val="007D043F"/>
    <w:rsid w:val="007D0944"/>
    <w:rsid w:val="007D1400"/>
    <w:rsid w:val="007D45D3"/>
    <w:rsid w:val="007D4652"/>
    <w:rsid w:val="007D4714"/>
    <w:rsid w:val="007D47D2"/>
    <w:rsid w:val="007D76F4"/>
    <w:rsid w:val="007E2A6E"/>
    <w:rsid w:val="007E4683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46FB"/>
    <w:rsid w:val="008A798B"/>
    <w:rsid w:val="008B67EF"/>
    <w:rsid w:val="008C12B3"/>
    <w:rsid w:val="008C24A4"/>
    <w:rsid w:val="008C30FD"/>
    <w:rsid w:val="008C3AC4"/>
    <w:rsid w:val="008C3FE0"/>
    <w:rsid w:val="008C4526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3D15"/>
    <w:rsid w:val="00914A5F"/>
    <w:rsid w:val="00923DF3"/>
    <w:rsid w:val="0092416D"/>
    <w:rsid w:val="00924689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0A38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6760E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6F00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5BF9"/>
    <w:rsid w:val="00CE6ACB"/>
    <w:rsid w:val="00CE7362"/>
    <w:rsid w:val="00CF7BA4"/>
    <w:rsid w:val="00CF7F25"/>
    <w:rsid w:val="00D01CC0"/>
    <w:rsid w:val="00D043B5"/>
    <w:rsid w:val="00D13034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653A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C5B"/>
  <w15:docId w15:val="{17236EC0-92CA-48C7-B1A4-D3A23AA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5</cp:revision>
  <dcterms:created xsi:type="dcterms:W3CDTF">2019-04-10T11:15:00Z</dcterms:created>
  <dcterms:modified xsi:type="dcterms:W3CDTF">2019-04-10T12:29:00Z</dcterms:modified>
</cp:coreProperties>
</file>