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F630BE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63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И МЕХАНИЗАЦИЯ </w:t>
      </w:r>
    </w:p>
    <w:p w:rsidR="00357594" w:rsidRPr="00357594" w:rsidRDefault="00F630BE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ПЕРЕГРУЗОЧНО-СКЛАДСКИХ РАБОТ</w:t>
      </w:r>
      <w:r w:rsidR="00357594"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F630BE" w:rsidRDefault="00357594" w:rsidP="00F630BE">
      <w:pPr>
        <w:rPr>
          <w:sz w:val="28"/>
          <w:szCs w:val="28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Направление подготовки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630BE" w:rsidRPr="00F630BE">
        <w:rPr>
          <w:rFonts w:ascii="Times New Roman" w:hAnsi="Times New Roman" w:cs="Times New Roman"/>
          <w:sz w:val="28"/>
          <w:szCs w:val="28"/>
          <w:lang w:val="ru-RU"/>
        </w:rPr>
        <w:t>38.03.06 «Торговое дело»</w:t>
      </w:r>
      <w:r w:rsidR="00F630BE" w:rsidRPr="00F630BE">
        <w:rPr>
          <w:sz w:val="28"/>
          <w:szCs w:val="28"/>
          <w:lang w:val="ru-RU"/>
        </w:rPr>
        <w:t xml:space="preserve"> 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Квалификация (степень) выпускника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630BE">
        <w:rPr>
          <w:rFonts w:ascii="Times New Roman" w:hAnsi="Times New Roman" w:cs="Times New Roman"/>
          <w:sz w:val="24"/>
          <w:szCs w:val="24"/>
          <w:lang w:val="ru-RU"/>
        </w:rPr>
        <w:t>бакалавр</w:t>
      </w:r>
    </w:p>
    <w:p w:rsid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Профиль 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630BE">
        <w:rPr>
          <w:rFonts w:ascii="Times New Roman" w:hAnsi="Times New Roman" w:cs="Times New Roman"/>
          <w:sz w:val="24"/>
          <w:szCs w:val="24"/>
          <w:lang w:val="ru-RU"/>
        </w:rPr>
        <w:t>Коммерция</w:t>
      </w:r>
    </w:p>
    <w:p w:rsidR="00FF4D1A" w:rsidRPr="00357594" w:rsidRDefault="00FF4D1A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57594" w:rsidRPr="00F630BE" w:rsidRDefault="00736DAD" w:rsidP="00F6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>Дисциплина «Т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и механизация </w:t>
      </w:r>
      <w:proofErr w:type="spellStart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</w:t>
      </w:r>
      <w:proofErr w:type="gramStart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Б1.В.ОД.11) относится к </w:t>
      </w:r>
      <w:r w:rsidR="007533B9">
        <w:rPr>
          <w:rFonts w:ascii="Times New Roman" w:hAnsi="Times New Roman" w:cs="Times New Roman"/>
          <w:sz w:val="24"/>
          <w:szCs w:val="24"/>
          <w:lang w:val="ru-RU"/>
        </w:rPr>
        <w:t>вариативной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 части  </w:t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>и является обязательной дисциплиной обучающегося.</w:t>
      </w:r>
    </w:p>
    <w:p w:rsidR="00FF4D1A" w:rsidRPr="00357594" w:rsidRDefault="00FF4D1A" w:rsidP="0035759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30BE" w:rsidRPr="00F630BE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BE">
        <w:rPr>
          <w:rFonts w:ascii="Times New Roman" w:hAnsi="Times New Roman" w:cs="Times New Roman"/>
          <w:sz w:val="24"/>
          <w:szCs w:val="24"/>
        </w:rPr>
        <w:t xml:space="preserve">Целью подготовки по дисциплине «Технология и механизация </w:t>
      </w:r>
      <w:proofErr w:type="spellStart"/>
      <w:r w:rsidRPr="00F630BE">
        <w:rPr>
          <w:rFonts w:ascii="Times New Roman" w:hAnsi="Times New Roman" w:cs="Times New Roman"/>
          <w:sz w:val="24"/>
          <w:szCs w:val="24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</w:rPr>
        <w:t>-складских работ»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F630BE">
        <w:rPr>
          <w:rFonts w:ascii="Times New Roman" w:hAnsi="Times New Roman" w:cs="Times New Roman"/>
          <w:sz w:val="24"/>
          <w:szCs w:val="24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F630BE" w:rsidRPr="00F630BE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понятий, теоретических положений и категорий в </w:t>
      </w: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области  механизации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работ (МПСР); 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 основных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средств механизации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овладение навыками применения для </w:t>
      </w: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организации  товародвижения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функционирования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терминально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комплексов;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 способов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сохранной доставки грузов от производителя к потребителю.</w:t>
      </w:r>
    </w:p>
    <w:p w:rsidR="00F97FB4" w:rsidRDefault="00F97FB4" w:rsidP="00736DA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</w:t>
      </w:r>
      <w:r w:rsidRPr="00EC3B6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студента к освоению </w:t>
      </w:r>
      <w:proofErr w:type="gramStart"/>
      <w:r w:rsidRPr="00EC3B6E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="0008220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3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0A4E00">
        <w:rPr>
          <w:rFonts w:ascii="Times New Roman" w:hAnsi="Times New Roman" w:cs="Times New Roman"/>
          <w:sz w:val="24"/>
          <w:szCs w:val="24"/>
          <w:lang w:val="ru-RU"/>
        </w:rPr>
        <w:t>Общий курс железных дорог», «Доставка скоропортящихся грузов», «Грузовые терминалы», «Организация грузовой и коммерческой работы», «Контейнерно-транспортные системы», «Транспортное обеспечение коммерческой деятельности»;</w:t>
      </w:r>
    </w:p>
    <w:p w:rsidR="007B5212" w:rsidRDefault="0008220C" w:rsidP="007B5212">
      <w:pPr>
        <w:pStyle w:val="a9"/>
        <w:spacing w:line="276" w:lineRule="auto"/>
        <w:ind w:left="142"/>
      </w:pPr>
      <w:r>
        <w:lastRenderedPageBreak/>
        <w:t xml:space="preserve">           </w:t>
      </w:r>
      <w:r w:rsidR="00F97FB4">
        <w:t xml:space="preserve">- подготовка студента к прохождению </w:t>
      </w:r>
      <w:proofErr w:type="gramStart"/>
      <w:r w:rsidR="00F97FB4">
        <w:t>практик :</w:t>
      </w:r>
      <w:proofErr w:type="gramEnd"/>
      <w:r w:rsidR="00F97FB4">
        <w:t xml:space="preserve"> </w:t>
      </w:r>
      <w:r w:rsidR="007B5212">
        <w:t xml:space="preserve">коммерческая, логистическая </w:t>
      </w:r>
      <w:r w:rsidR="00F97FB4">
        <w:t xml:space="preserve"> и </w:t>
      </w:r>
    </w:p>
    <w:p w:rsidR="00F97FB4" w:rsidRDefault="007B5212" w:rsidP="007B5212">
      <w:pPr>
        <w:pStyle w:val="a9"/>
        <w:spacing w:line="276" w:lineRule="auto"/>
        <w:ind w:left="142"/>
      </w:pPr>
      <w:r>
        <w:t xml:space="preserve">              </w:t>
      </w:r>
      <w:bookmarkStart w:id="0" w:name="_GoBack"/>
      <w:bookmarkEnd w:id="0"/>
      <w:r w:rsidR="00F97FB4">
        <w:t>преддипломная;</w:t>
      </w:r>
    </w:p>
    <w:p w:rsidR="00F97FB4" w:rsidRDefault="0008220C" w:rsidP="00F97FB4">
      <w:pPr>
        <w:pStyle w:val="a9"/>
        <w:spacing w:line="276" w:lineRule="auto"/>
        <w:jc w:val="both"/>
      </w:pPr>
      <w:r>
        <w:t xml:space="preserve">            </w:t>
      </w:r>
      <w:r w:rsidR="00F97FB4">
        <w:t>- подготовка студента к защите выпускной квалификационной работы;</w:t>
      </w:r>
    </w:p>
    <w:p w:rsidR="00F97FB4" w:rsidRDefault="0008220C" w:rsidP="00F97FB4">
      <w:pPr>
        <w:pStyle w:val="a9"/>
        <w:spacing w:line="276" w:lineRule="auto"/>
        <w:jc w:val="both"/>
      </w:pPr>
      <w:r>
        <w:t xml:space="preserve">            </w:t>
      </w:r>
      <w:r w:rsidR="00F97FB4">
        <w:t>- развитие социально-воспитательного компонента учебного процесса.</w:t>
      </w:r>
    </w:p>
    <w:p w:rsidR="00F97FB4" w:rsidRPr="00357594" w:rsidRDefault="00F97FB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7594" w:rsidRPr="00357594" w:rsidRDefault="00357594" w:rsidP="003575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357594" w:rsidRPr="00357594" w:rsidRDefault="00736DAD" w:rsidP="0035759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7594"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="00357594" w:rsidRPr="0035759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="00357594"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ОПК-5, </w:t>
      </w:r>
      <w:r w:rsidR="00357594" w:rsidRPr="0035759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57594" w:rsidRPr="00357594">
        <w:rPr>
          <w:rFonts w:ascii="Times New Roman" w:hAnsi="Times New Roman" w:cs="Times New Roman"/>
          <w:sz w:val="24"/>
          <w:szCs w:val="24"/>
          <w:lang w:val="ru-RU"/>
        </w:rPr>
        <w:t>, ПК-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0A4E00" w:rsidRPr="000A4E00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A4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 основные условия подготовки,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перегрузки,  хранения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перевозки различных грузов по железным дорогам, автотранспортом и водным транспортом;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средства механизации выполнения </w:t>
      </w:r>
      <w:proofErr w:type="spell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-складских работ, средства пакетирования грузов, типы контейнеров;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УМЕТЬ: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 выбирать способ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перевозки  и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A4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владеть</w:t>
      </w: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навыками эффективной организации доставки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различных  грузов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ориентироваться в вопросах управления предприятием; его материны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ми ресурсами, финансами, персоналом; 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E00">
        <w:rPr>
          <w:rFonts w:ascii="Times New Roman" w:eastAsia="Calibri" w:hAnsi="Times New Roman" w:cs="Times New Roman"/>
          <w:sz w:val="24"/>
          <w:szCs w:val="24"/>
        </w:rPr>
        <w:t>цессами</w:t>
      </w:r>
      <w:proofErr w:type="spellEnd"/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 компании.</w:t>
      </w: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0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E00">
        <w:rPr>
          <w:rFonts w:ascii="Times New Roman" w:eastAsia="Calibri" w:hAnsi="Times New Roman" w:cs="Times New Roman"/>
          <w:sz w:val="24"/>
          <w:szCs w:val="24"/>
        </w:rPr>
        <w:t>перегрузочно</w:t>
      </w:r>
      <w:proofErr w:type="spellEnd"/>
      <w:r w:rsidRPr="000A4E00">
        <w:rPr>
          <w:rFonts w:ascii="Times New Roman" w:eastAsia="Calibri" w:hAnsi="Times New Roman" w:cs="Times New Roman"/>
          <w:sz w:val="24"/>
          <w:szCs w:val="24"/>
        </w:rPr>
        <w:t>-складских процессов;</w:t>
      </w:r>
    </w:p>
    <w:p w:rsidR="000A4E00" w:rsidRPr="000A4E00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 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навыками эффективной организации доставки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различных  грузов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минимальные сроки, с обеспечением сохранности перевозимого груза;</w:t>
      </w:r>
    </w:p>
    <w:p w:rsidR="000A4E00" w:rsidRPr="000A4E00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sz w:val="24"/>
          <w:szCs w:val="24"/>
          <w:lang w:val="ru-RU"/>
        </w:rPr>
        <w:t xml:space="preserve">      - навыками проектирования технологических </w:t>
      </w:r>
      <w:proofErr w:type="spellStart"/>
      <w:r w:rsidRPr="000A4E00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0A4E00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процессов на предприятиях и в </w:t>
      </w:r>
      <w:proofErr w:type="gramStart"/>
      <w:r w:rsidRPr="000A4E00">
        <w:rPr>
          <w:rFonts w:ascii="Times New Roman" w:hAnsi="Times New Roman" w:cs="Times New Roman"/>
          <w:sz w:val="24"/>
          <w:szCs w:val="24"/>
          <w:lang w:val="ru-RU"/>
        </w:rPr>
        <w:t>торговой  сети</w:t>
      </w:r>
      <w:proofErr w:type="gramEnd"/>
      <w:r w:rsidRPr="000A4E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коммерческой, товароведной, маркетинговой, логистической и реклам</w:t>
      </w:r>
    </w:p>
    <w:p w:rsid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на предприятиях. </w:t>
      </w:r>
    </w:p>
    <w:p w:rsidR="009D445B" w:rsidRDefault="009D445B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:rsidR="007F7C73" w:rsidRDefault="007F7C73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C73" w:rsidRPr="007F7C73" w:rsidRDefault="007F7C73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F7C73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proofErr w:type="gramEnd"/>
      <w:r w:rsidRPr="007F7C7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и механизация </w:t>
      </w:r>
      <w:proofErr w:type="spellStart"/>
      <w:r w:rsidR="000A4E00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="000A4E00">
        <w:rPr>
          <w:rFonts w:ascii="Times New Roman" w:hAnsi="Times New Roman" w:cs="Times New Roman"/>
          <w:sz w:val="24"/>
          <w:szCs w:val="24"/>
          <w:lang w:val="ru-RU"/>
        </w:rPr>
        <w:t>-складских работ»</w:t>
      </w:r>
      <w:r w:rsidRPr="007F7C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F7C73" w:rsidRPr="007F7C7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Очная форма обучения (</w:t>
      </w:r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 w:rsidR="002230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</w:t>
      </w:r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</w:t>
      </w: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семестр</w:t>
      </w:r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</w:t>
      </w:r>
      <w:proofErr w:type="gramEnd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</w:t>
      </w:r>
    </w:p>
    <w:p w:rsidR="007F7C7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заочная форма </w:t>
      </w:r>
      <w:proofErr w:type="gramStart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 (</w:t>
      </w:r>
      <w:proofErr w:type="gramEnd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 курс).</w:t>
      </w:r>
    </w:p>
    <w:p w:rsidR="00D56357" w:rsidRDefault="00D56357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и функции транспортно-грузовых систем для перемещения грузов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Технические средства транспортно-грузовых систем, технико-эк</w:t>
      </w:r>
      <w:r w:rsidR="009D44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плуатационные требования к ним.  Подъемно-транспортные машины, их назначение и классификация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Транспортирующие машины непрерывного действия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Грузоподъемные машины и устройства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Погрузочно-разгрузочные машины и оборудование.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Автоматическое управление подъемно-</w:t>
      </w:r>
      <w:proofErr w:type="gram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транспортными  машинами</w:t>
      </w:r>
      <w:proofErr w:type="gram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установками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Назначение и классификация складов. Логистические решения в области управления материальными потоками.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</w:r>
      <w:proofErr w:type="gram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транспорте,  промышленных</w:t>
      </w:r>
      <w:proofErr w:type="gram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предприятиях. Рациональная организация труда и производства работ.     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Информационные технологии в транспортно-грузовых системах. Информационная поддержка 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грузопереработки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Складская система учета многономенклатурной продукции.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грузопереработки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Проектирование фронтов погрузки-выгрузки и зон хранения грузов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экономических показателей проектируемого склада</w:t>
      </w:r>
    </w:p>
    <w:p w:rsidR="002269E3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Вариантность проектирования складов. Сравнение и выбор вариантов складов.</w:t>
      </w:r>
    </w:p>
    <w:p w:rsidR="00C60556" w:rsidRPr="00C60556" w:rsidRDefault="00C60556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15. </w:t>
      </w:r>
      <w:r w:rsidRPr="00C60556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C60556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C60556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тарно-штучных и штучных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контейнеров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навалочных и сыпучих грузов 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зерновых грузов,  овощей и фруктов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лесных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наливных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Транспортно-грузовые комплексы для перевалки грузов в пунктах примыкания путей различной колеи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Транспортно-грузовые комплексы для перевалки грузов на причальных линиях морских и речных портов</w:t>
      </w:r>
    </w:p>
    <w:p w:rsidR="002269E3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66131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Особенности транспортно-грузовых комплексов для переработки таможенных грузов</w:t>
      </w:r>
    </w:p>
    <w:p w:rsidR="00C60556" w:rsidRDefault="00C60556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22300B" w:rsidRDefault="0022300B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5439" w:rsidRPr="0022300B" w:rsidRDefault="00AD5439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30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Для очной формы </w:t>
      </w:r>
      <w:proofErr w:type="gramStart"/>
      <w:r w:rsidRPr="0022300B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обучения :</w:t>
      </w:r>
      <w:proofErr w:type="gramEnd"/>
      <w:r w:rsidRPr="0022300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936D8" w:rsidRPr="0022300B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Объем дисциплины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единиц (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180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лекции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</w:t>
      </w:r>
      <w:r w:rsidR="00E3301F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7533B9" w:rsidRDefault="007533B9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Лабораторные работы -</w:t>
      </w:r>
      <w:r w:rsidR="008E5D1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8E5D1D" w:rsidRPr="00A936D8" w:rsidRDefault="008E5D1D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</w:t>
      </w:r>
      <w:r w:rsidR="002230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актических работ – 34 час.</w:t>
      </w:r>
    </w:p>
    <w:p w:rsid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8E5D1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44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Форма контроля знаний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экзамен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</w:t>
      </w:r>
    </w:p>
    <w:p w:rsidR="00A936D8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DAD" w:rsidRDefault="00736DAD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DAD" w:rsidRDefault="00736DAD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DAD" w:rsidRDefault="00736DAD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439" w:rsidRPr="0022300B" w:rsidRDefault="00AD5439" w:rsidP="00E27E88">
      <w:pPr>
        <w:spacing w:after="0" w:line="20" w:lineRule="atLeast"/>
        <w:ind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300B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заочной формы обучения</w:t>
      </w:r>
    </w:p>
    <w:p w:rsidR="00E27E88" w:rsidRDefault="00E27E88" w:rsidP="00E27E88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Объем дисциплины –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единиц (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180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E27E8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лекции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7533B9" w:rsidRPr="00A936D8" w:rsidRDefault="00FA2B3F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Лабораторные работы – 8 час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8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E27E8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151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Форма контроля знаний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экзамен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КП.</w:t>
      </w:r>
    </w:p>
    <w:p w:rsidR="00E27E88" w:rsidRPr="00AD5439" w:rsidRDefault="00E27E88" w:rsidP="00E27E88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sectPr w:rsidR="00357594" w:rsidRPr="00AD5439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C2" w:rsidRDefault="00182AC2" w:rsidP="001F6AD3">
      <w:pPr>
        <w:spacing w:after="0" w:line="240" w:lineRule="auto"/>
      </w:pPr>
      <w:r>
        <w:separator/>
      </w:r>
    </w:p>
  </w:endnote>
  <w:endnote w:type="continuationSeparator" w:id="0">
    <w:p w:rsidR="00182AC2" w:rsidRDefault="00182AC2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212" w:rsidRPr="007B5212">
          <w:rPr>
            <w:noProof/>
            <w:lang w:val="ru-RU"/>
          </w:rPr>
          <w:t>4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C2" w:rsidRDefault="00182AC2" w:rsidP="001F6AD3">
      <w:pPr>
        <w:spacing w:after="0" w:line="240" w:lineRule="auto"/>
      </w:pPr>
      <w:r>
        <w:separator/>
      </w:r>
    </w:p>
  </w:footnote>
  <w:footnote w:type="continuationSeparator" w:id="0">
    <w:p w:rsidR="00182AC2" w:rsidRDefault="00182AC2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C6"/>
    <w:rsid w:val="00027325"/>
    <w:rsid w:val="000309B9"/>
    <w:rsid w:val="00070219"/>
    <w:rsid w:val="0008220C"/>
    <w:rsid w:val="000A4E00"/>
    <w:rsid w:val="000F101F"/>
    <w:rsid w:val="000F6A10"/>
    <w:rsid w:val="00182AC2"/>
    <w:rsid w:val="001D4BF5"/>
    <w:rsid w:val="001E0ED6"/>
    <w:rsid w:val="001F6AD3"/>
    <w:rsid w:val="0022300B"/>
    <w:rsid w:val="002269E3"/>
    <w:rsid w:val="00232B55"/>
    <w:rsid w:val="002D61F6"/>
    <w:rsid w:val="003505E0"/>
    <w:rsid w:val="00357594"/>
    <w:rsid w:val="0036331C"/>
    <w:rsid w:val="0038721F"/>
    <w:rsid w:val="003A117A"/>
    <w:rsid w:val="003E04AE"/>
    <w:rsid w:val="004717C6"/>
    <w:rsid w:val="00523DCE"/>
    <w:rsid w:val="006307A3"/>
    <w:rsid w:val="00640D25"/>
    <w:rsid w:val="00661317"/>
    <w:rsid w:val="0067275F"/>
    <w:rsid w:val="00677040"/>
    <w:rsid w:val="006A0413"/>
    <w:rsid w:val="007060A6"/>
    <w:rsid w:val="00716A4D"/>
    <w:rsid w:val="00736DAD"/>
    <w:rsid w:val="007533B9"/>
    <w:rsid w:val="00754055"/>
    <w:rsid w:val="007B5212"/>
    <w:rsid w:val="007F7C73"/>
    <w:rsid w:val="008E5D1D"/>
    <w:rsid w:val="009365A6"/>
    <w:rsid w:val="009D445B"/>
    <w:rsid w:val="00A42206"/>
    <w:rsid w:val="00A936D8"/>
    <w:rsid w:val="00AD5439"/>
    <w:rsid w:val="00B058D9"/>
    <w:rsid w:val="00C60556"/>
    <w:rsid w:val="00CA076E"/>
    <w:rsid w:val="00CB2DBB"/>
    <w:rsid w:val="00CE46B5"/>
    <w:rsid w:val="00D276B9"/>
    <w:rsid w:val="00D56357"/>
    <w:rsid w:val="00DA043B"/>
    <w:rsid w:val="00DA2945"/>
    <w:rsid w:val="00E27E88"/>
    <w:rsid w:val="00E3301F"/>
    <w:rsid w:val="00E67E73"/>
    <w:rsid w:val="00EC1998"/>
    <w:rsid w:val="00EC3B6E"/>
    <w:rsid w:val="00EC77B4"/>
    <w:rsid w:val="00EF0C55"/>
    <w:rsid w:val="00F622A0"/>
    <w:rsid w:val="00F630BE"/>
    <w:rsid w:val="00F73FD9"/>
    <w:rsid w:val="00F97FB4"/>
    <w:rsid w:val="00FA1373"/>
    <w:rsid w:val="00FA2B3F"/>
    <w:rsid w:val="00FC1798"/>
    <w:rsid w:val="00FE066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384A"/>
  <w15:docId w15:val="{8A3EA2F5-676E-430E-9D2A-5C068AE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373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8443-0BED-4D5C-A4F2-15D37FAD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Windows User</cp:lastModifiedBy>
  <cp:revision>7</cp:revision>
  <cp:lastPrinted>2016-11-22T10:07:00Z</cp:lastPrinted>
  <dcterms:created xsi:type="dcterms:W3CDTF">2018-01-02T19:24:00Z</dcterms:created>
  <dcterms:modified xsi:type="dcterms:W3CDTF">2018-01-02T21:22:00Z</dcterms:modified>
</cp:coreProperties>
</file>