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Дисциплины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«ТЕХНИЧЕСКИЙ ИНОСТРАННЫЙ ЯЗЫК»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- 13.03.01 «Теплоэнергетика и теплотехника»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 выпускника - бакалавр Профиль - «Промышленная теплоэнергетика»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«Технический иностранный язык» (ФТД.1) относится к факультативным дисциплинам.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 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  <w:tab/>
        <w:t>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ОК-5.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  <w:tab/>
        <w:t>Содержание и структура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Деловое общение на иностранном языке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общение на иностранном языке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специальность</w:t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bookmarkStart w:id="1" w:name="__DdeLink__405_1576119417"/>
      <w:r>
        <w:rPr>
          <w:rFonts w:ascii="Times New Roman" w:hAnsi="Times New Roman"/>
          <w:sz w:val="28"/>
          <w:szCs w:val="28"/>
        </w:rPr>
        <w:t xml:space="preserve">– </w:t>
      </w:r>
      <w:bookmarkEnd w:id="1"/>
      <w:r>
        <w:rPr>
          <w:rFonts w:ascii="Times New Roman" w:hAnsi="Times New Roman"/>
          <w:sz w:val="28"/>
          <w:szCs w:val="28"/>
        </w:rPr>
        <w:t>29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9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12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56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__DdeLink__347_1187222013"/>
      <w:bookmarkEnd w:id="2"/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490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604d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25">
    <w:name w:val="ListLabel 25"/>
    <w:qFormat/>
    <w:rPr>
      <w:rFonts w:ascii="Times New Roman" w:hAnsi="Times New Roman" w:cs="Symbol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OpenSymbol"/>
      <w:sz w:val="28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b50490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04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LibreOffice/5.4.5.1$Linux_X86_64 LibreOffice_project/40m0$Build-1</Application>
  <Pages>2</Pages>
  <Words>257</Words>
  <Characters>1850</Characters>
  <CharactersWithSpaces>2065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2016-12-23T08:26:00Z</dcterms:created>
  <dc:creator>1</dc:creator>
  <dc:description/>
  <dc:language>ru-RU</dc:language>
  <cp:lastModifiedBy>Алексей Юрьевич Тимашков</cp:lastModifiedBy>
  <dcterms:modified xsi:type="dcterms:W3CDTF">2018-05-21T10:34:52Z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