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C3454">
        <w:rPr>
          <w:rFonts w:eastAsia="Times New Roman"/>
          <w:szCs w:val="28"/>
          <w:lang w:eastAsia="ru-RU"/>
        </w:rPr>
        <w:t>УСЛОВИЯ ПЕРЕВОЗОК И ТАРИФЫ В МЕЖДУНАРОДНЫХ СООБЩЕНИЯХ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5C3454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C3454">
        <w:rPr>
          <w:rFonts w:eastAsia="Times New Roman"/>
          <w:sz w:val="24"/>
          <w:szCs w:val="24"/>
          <w:lang w:eastAsia="ru-RU"/>
        </w:rPr>
        <w:t>Условия перевозок и тарифы в международных сообщениях»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 xml:space="preserve">Целью изучения дисциплины «Условия перевозок и тарифы в международных сообщениях» 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Для достижения поставленных целей решаются следующие задачи: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анализ развития международных перевозок в условиях интеграции мировой экономики;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рассмотрение вопросов правового регулирования международных перевозок;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овладение правилами применения различных международных тарифов;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3E626C" w:rsidRPr="005C3454" w:rsidRDefault="005C3454" w:rsidP="005C3454">
      <w:pPr>
        <w:ind w:firstLine="567"/>
        <w:rPr>
          <w:sz w:val="24"/>
          <w:szCs w:val="24"/>
          <w:lang w:val="x-none"/>
        </w:rPr>
      </w:pPr>
      <w:r w:rsidRPr="005C3454">
        <w:rPr>
          <w:sz w:val="24"/>
          <w:szCs w:val="24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C3454">
        <w:rPr>
          <w:rFonts w:eastAsia="Times New Roman"/>
          <w:sz w:val="24"/>
          <w:szCs w:val="24"/>
          <w:lang w:eastAsia="ru-RU"/>
        </w:rPr>
        <w:t>ПК-22, ПСК-1.4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ЗНАТЬ:</w:t>
      </w:r>
    </w:p>
    <w:p w:rsidR="005C3454" w:rsidRPr="005C3454" w:rsidRDefault="005C3454" w:rsidP="005C3454">
      <w:pPr>
        <w:numPr>
          <w:ilvl w:val="0"/>
          <w:numId w:val="36"/>
        </w:numPr>
        <w:ind w:left="0"/>
        <w:rPr>
          <w:color w:val="000000"/>
          <w:sz w:val="24"/>
          <w:szCs w:val="24"/>
        </w:rPr>
      </w:pPr>
      <w:r w:rsidRPr="005C3454">
        <w:rPr>
          <w:color w:val="000000"/>
          <w:sz w:val="24"/>
          <w:szCs w:val="24"/>
        </w:rPr>
        <w:t>основы работы транспорта во внешнеэкономических связях России; требования таможенного кодекса при пересечении границы; понятие о лицензировании, квотировании, декларировании грузов;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УМЕТЬ: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отечественную нормативно-правовую базу и </w:t>
      </w:r>
      <w:proofErr w:type="gramStart"/>
      <w:r w:rsidRPr="005C3454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454">
        <w:rPr>
          <w:rFonts w:ascii="Times New Roman" w:hAnsi="Times New Roman" w:cs="Times New Roman"/>
          <w:color w:val="000000"/>
          <w:sz w:val="24"/>
          <w:szCs w:val="24"/>
        </w:rPr>
        <w:t>международные конвенции</w:t>
      </w:r>
      <w:proofErr w:type="gramEnd"/>
      <w:r w:rsidRPr="005C3454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договоры, регламентирующие грузовые перевозки в международном сообщении.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ВЛАДЕТЬ: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color w:val="000000"/>
          <w:sz w:val="24"/>
          <w:szCs w:val="24"/>
        </w:rPr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F96C40" w:rsidRPr="000E219D" w:rsidRDefault="00F96C40" w:rsidP="005C345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 xml:space="preserve">Основы организации перевозок грузов в международном сообщении. 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Правовое регулирование перевозок грузов в международном железнодорожном сообщении.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lastRenderedPageBreak/>
        <w:t>Перевозки грузов в международном сообщении между странами СМГС и ЦИМ-КОТИФ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Регулирование тарифов на перевозки грузов в международном сообщении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внешнеэкономической деятельности при осущес</w:t>
      </w:r>
      <w:r>
        <w:rPr>
          <w:sz w:val="24"/>
          <w:szCs w:val="24"/>
        </w:rPr>
        <w:t>твлении международных перевозок.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таможенного регулирования в Российской Федерации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Декларирование товаров.</w:t>
      </w:r>
    </w:p>
    <w:p w:rsidR="00B860C9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Таможенное оформление грузов при перевозках железнодорожным транспортом</w:t>
      </w:r>
      <w:r>
        <w:rPr>
          <w:sz w:val="24"/>
          <w:szCs w:val="24"/>
        </w:rPr>
        <w:t>.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E323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FE3235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E3235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5C3454" w:rsidRDefault="005C3454" w:rsidP="005C3454">
      <w:pPr>
        <w:spacing w:after="200"/>
        <w:ind w:firstLine="142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5C3454" w:rsidRPr="00000C9D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Pr="00D22E88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экзамен.</w:t>
      </w:r>
      <w:r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0"/>
  </w:num>
  <w:num w:numId="8">
    <w:abstractNumId w:val="9"/>
  </w:num>
  <w:num w:numId="9">
    <w:abstractNumId w:val="28"/>
  </w:num>
  <w:num w:numId="10">
    <w:abstractNumId w:val="19"/>
  </w:num>
  <w:num w:numId="11">
    <w:abstractNumId w:val="34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30"/>
  </w:num>
  <w:num w:numId="20">
    <w:abstractNumId w:val="4"/>
  </w:num>
  <w:num w:numId="21">
    <w:abstractNumId w:val="29"/>
  </w:num>
  <w:num w:numId="22">
    <w:abstractNumId w:val="22"/>
  </w:num>
  <w:num w:numId="23">
    <w:abstractNumId w:val="24"/>
  </w:num>
  <w:num w:numId="24">
    <w:abstractNumId w:val="1"/>
  </w:num>
  <w:num w:numId="25">
    <w:abstractNumId w:val="16"/>
  </w:num>
  <w:num w:numId="26">
    <w:abstractNumId w:val="32"/>
  </w:num>
  <w:num w:numId="27">
    <w:abstractNumId w:val="12"/>
  </w:num>
  <w:num w:numId="28">
    <w:abstractNumId w:val="0"/>
  </w:num>
  <w:num w:numId="29">
    <w:abstractNumId w:val="17"/>
  </w:num>
  <w:num w:numId="30">
    <w:abstractNumId w:val="27"/>
  </w:num>
  <w:num w:numId="31">
    <w:abstractNumId w:val="11"/>
  </w:num>
  <w:num w:numId="32">
    <w:abstractNumId w:val="3"/>
  </w:num>
  <w:num w:numId="33">
    <w:abstractNumId w:val="18"/>
  </w:num>
  <w:num w:numId="34">
    <w:abstractNumId w:val="15"/>
  </w:num>
  <w:num w:numId="35">
    <w:abstractNumId w:val="31"/>
  </w:num>
  <w:num w:numId="36">
    <w:abstractNumId w:val="33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A0244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5C3454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A7E7F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E32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5C3454"/>
    <w:pPr>
      <w:keepNext/>
      <w:jc w:val="center"/>
      <w:outlineLvl w:val="2"/>
    </w:pPr>
    <w:rPr>
      <w:rFonts w:eastAsia="Calibri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C3454"/>
    <w:rPr>
      <w:rFonts w:eastAsia="Calibri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cp:lastPrinted>2017-03-27T13:21:00Z</cp:lastPrinted>
  <dcterms:created xsi:type="dcterms:W3CDTF">2017-11-17T12:33:00Z</dcterms:created>
  <dcterms:modified xsi:type="dcterms:W3CDTF">2017-11-17T13:25:00Z</dcterms:modified>
</cp:coreProperties>
</file>