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377E6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377E6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F377E6">
        <w:rPr>
          <w:sz w:val="28"/>
          <w:szCs w:val="28"/>
        </w:rPr>
        <w:t>Магистральный транспорт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очно-заочная,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 wp14:anchorId="39B24680" wp14:editId="657FC03B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EC5606">
        <w:rPr>
          <w:sz w:val="28"/>
          <w:szCs w:val="28"/>
        </w:rPr>
        <w:t>1289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t>очно</w:t>
      </w:r>
      <w:proofErr w:type="gramEnd"/>
      <w:r w:rsidRPr="001A450E">
        <w:rPr>
          <w:sz w:val="28"/>
          <w:szCs w:val="28"/>
        </w:rPr>
        <w:t>-заочная</w:t>
      </w:r>
      <w:r>
        <w:rPr>
          <w:sz w:val="28"/>
          <w:szCs w:val="28"/>
        </w:rPr>
        <w:t xml:space="preserve"> форма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509F6" w:rsidRPr="00E535E0" w:rsidRDefault="00D8621C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21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21C">
              <w:rPr>
                <w:sz w:val="24"/>
                <w:szCs w:val="24"/>
              </w:rPr>
              <w:t>6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44A30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>ма контроля знаний» – зачет (З)</w:t>
      </w: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Очно-очное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7F6">
              <w:rPr>
                <w:sz w:val="22"/>
                <w:szCs w:val="22"/>
              </w:rPr>
              <w:t>6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lastRenderedPageBreak/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>Гуманитарное образование в технических вузах в эпоху модернизации и глобализации: материалы Международной научно-</w:t>
      </w:r>
      <w:r w:rsidRPr="009F5E81">
        <w:rPr>
          <w:bCs/>
          <w:sz w:val="28"/>
          <w:szCs w:val="28"/>
        </w:rPr>
        <w:lastRenderedPageBreak/>
        <w:t xml:space="preserve">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EC5606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EC5606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EC5606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614B24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укомплектованы средствами обучения, </w:t>
      </w:r>
      <w:r>
        <w:rPr>
          <w:bCs/>
          <w:sz w:val="28"/>
        </w:rPr>
        <w:lastRenderedPageBreak/>
        <w:t>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6"/>
        <w:gridCol w:w="2501"/>
        <w:gridCol w:w="2186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  <w:r w:rsidR="00EC5606">
              <w:rPr>
                <w:sz w:val="28"/>
                <w:szCs w:val="28"/>
              </w:rPr>
              <w:t>/</w:t>
            </w:r>
            <w:bookmarkStart w:id="0" w:name="_GoBack"/>
            <w:bookmarkEnd w:id="0"/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2B52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5606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2017-02-03T07:33:00Z</cp:lastPrinted>
  <dcterms:created xsi:type="dcterms:W3CDTF">2018-01-02T17:49:00Z</dcterms:created>
  <dcterms:modified xsi:type="dcterms:W3CDTF">2018-01-02T17:56:00Z</dcterms:modified>
</cp:coreProperties>
</file>