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1245AC">
        <w:rPr>
          <w:rFonts w:ascii="Times New Roman" w:hAnsi="Times New Roman" w:cs="Times New Roman"/>
          <w:caps/>
          <w:sz w:val="24"/>
          <w:szCs w:val="24"/>
        </w:rPr>
        <w:t>подвижной состав железных дорог 2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245AC">
        <w:rPr>
          <w:rFonts w:ascii="Times New Roman" w:hAnsi="Times New Roman" w:cs="Times New Roman"/>
          <w:sz w:val="24"/>
          <w:szCs w:val="24"/>
        </w:rPr>
        <w:t>Подвижной состав железных дорог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245AC">
        <w:rPr>
          <w:rFonts w:ascii="Times New Roman" w:hAnsi="Times New Roman" w:cs="Times New Roman"/>
          <w:sz w:val="24"/>
          <w:szCs w:val="24"/>
        </w:rPr>
        <w:t>43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теоретическая и практическая подготовка студентов в области автономного тягового подвижного состава, </w:t>
      </w:r>
      <w:r w:rsidRPr="001245AC">
        <w:rPr>
          <w:rFonts w:ascii="Times New Roman" w:hAnsi="Times New Roman" w:cs="Times New Roman"/>
          <w:sz w:val="24"/>
          <w:szCs w:val="24"/>
        </w:rPr>
        <w:t xml:space="preserve">организации его эксплуатационной работы на железных дорогах,  техническом обслуживании и ремонте. 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ознакомление студентов с классификацией и конструкцией основных единиц подвижного состава;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изучение студентами конструкции и принципа действия основных агрегатов локомотивов;</w:t>
      </w:r>
    </w:p>
    <w:p w:rsidR="001245AC" w:rsidRPr="001245AC" w:rsidRDefault="001245AC" w:rsidP="00124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рассмотрение организации работы локомотивного хозяйства в современных условиях.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</w:t>
      </w:r>
      <w:r w:rsidR="001245AC">
        <w:rPr>
          <w:rFonts w:ascii="Times New Roman" w:hAnsi="Times New Roman" w:cs="Times New Roman"/>
          <w:sz w:val="24"/>
          <w:szCs w:val="24"/>
        </w:rPr>
        <w:t>8,  ПК-1, ПК-2.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b/>
          <w:sz w:val="24"/>
          <w:szCs w:val="24"/>
        </w:rPr>
        <w:t>ЗНАТЬ</w:t>
      </w:r>
      <w:r w:rsidRPr="001245AC">
        <w:rPr>
          <w:rFonts w:ascii="Times New Roman" w:hAnsi="Times New Roman" w:cs="Times New Roman"/>
          <w:sz w:val="24"/>
          <w:szCs w:val="24"/>
        </w:rPr>
        <w:t>: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типы подвижного состава; конструкции подвижного состава и его узлов; основные технические характеристики подвижного состава и его узлов;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жизненный цикл локомотивов, вагонов и электроподвижного состава; стратегии развития подвижного состава;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245AC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A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1245AC" w:rsidRDefault="001245AC" w:rsidP="0012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</w:t>
      </w:r>
      <w:r w:rsidR="001D000B" w:rsidRPr="001245A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245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1. Введение. Общие понятия о тяговом подвижном составе. Виды тяги.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2. Двигатель внутреннего сгорания. Общие понятия. Конструкция и принцип действия. Серии дизелей. Системы дизелей.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3. Виды передач мощности. Электрическая, механическая, гидромеханическая. Принцип действия и конструкция.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4. Электрические машины локомотивов. Тяговый генератор, тяговые электродвигатели постоянного и переменного тока.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 Экипажная часть тягового подвижного состава. Конструкция кузовов и рам локомотивов. Ходовые части. Рессорное подвешивание. Ударно-тяговые устройства.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6. Электроподвижной состав постоянного и переменного тока. Конструкция и принцип действия. Электрические схемы. Обозначение элементов электрической схемы. Принципы чтения. Электрические аппараты переключения и управления: контакторы, реле, контроллеры.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7. Электроснабжение железных дорог. Источники электроэнергии, тяговые подстанции, контактная сеть.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8. Аккумуляторные батареи подвижного состава. Принцип действия, виды, конструкция.</w:t>
      </w:r>
    </w:p>
    <w:p w:rsidR="001245AC" w:rsidRPr="001245AC" w:rsidRDefault="001245AC" w:rsidP="0012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eastAsia="Times New Roman" w:hAnsi="Times New Roman" w:cs="Times New Roman"/>
          <w:bCs/>
          <w:sz w:val="24"/>
          <w:szCs w:val="24"/>
        </w:rPr>
        <w:t>9. Автоматические тормоза подвижного состава. Классификация. Основные узлы и принцип действия.</w:t>
      </w:r>
    </w:p>
    <w:p w:rsidR="00126646" w:rsidRPr="001245AC" w:rsidRDefault="005F40B5" w:rsidP="0012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AC">
        <w:rPr>
          <w:rFonts w:ascii="Times New Roman" w:hAnsi="Times New Roman" w:cs="Times New Roman"/>
          <w:sz w:val="24"/>
          <w:szCs w:val="24"/>
        </w:rPr>
        <w:t>1</w:t>
      </w:r>
      <w:r w:rsidR="001245AC" w:rsidRPr="001245AC">
        <w:rPr>
          <w:rFonts w:ascii="Times New Roman" w:hAnsi="Times New Roman" w:cs="Times New Roman"/>
          <w:sz w:val="24"/>
          <w:szCs w:val="24"/>
        </w:rPr>
        <w:t>0</w:t>
      </w:r>
      <w:r w:rsidRPr="001245AC">
        <w:rPr>
          <w:rFonts w:ascii="Times New Roman" w:hAnsi="Times New Roman" w:cs="Times New Roman"/>
          <w:sz w:val="24"/>
          <w:szCs w:val="24"/>
        </w:rPr>
        <w:t xml:space="preserve">. </w:t>
      </w:r>
      <w:r w:rsidR="001245AC" w:rsidRPr="001245AC">
        <w:rPr>
          <w:rFonts w:ascii="Times New Roman" w:eastAsia="Times New Roman" w:hAnsi="Times New Roman" w:cs="Times New Roman"/>
          <w:bCs/>
          <w:sz w:val="24"/>
          <w:szCs w:val="24"/>
        </w:rPr>
        <w:t>Система ремонта тягового подвижного состава. Локомотивные депо. Отделения и выполняемые работы. Экипировка тягового подвижного состава. Воздействие на окружающую среду. Перспективы развития и основы проектирования тягового подвижного состава.</w:t>
      </w:r>
    </w:p>
    <w:p w:rsidR="00126646" w:rsidRDefault="00126646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245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2E5F34">
        <w:rPr>
          <w:rFonts w:ascii="Times New Roman" w:hAnsi="Times New Roman"/>
          <w:sz w:val="24"/>
          <w:szCs w:val="24"/>
        </w:rPr>
        <w:t>252 часа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1245AC">
        <w:rPr>
          <w:rFonts w:ascii="Times New Roman" w:hAnsi="Times New Roman"/>
          <w:sz w:val="24"/>
          <w:szCs w:val="24"/>
        </w:rPr>
        <w:t>54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1245AC">
        <w:rPr>
          <w:rFonts w:ascii="Times New Roman" w:hAnsi="Times New Roman"/>
          <w:sz w:val="24"/>
          <w:szCs w:val="24"/>
        </w:rPr>
        <w:t>36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45A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1245A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D278BC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245AC">
        <w:rPr>
          <w:rFonts w:ascii="Times New Roman" w:hAnsi="Times New Roman"/>
          <w:sz w:val="24"/>
          <w:szCs w:val="24"/>
        </w:rPr>
        <w:t>11</w:t>
      </w:r>
      <w:r w:rsidR="00126646">
        <w:rPr>
          <w:rFonts w:ascii="Times New Roman" w:hAnsi="Times New Roman"/>
          <w:sz w:val="24"/>
          <w:szCs w:val="24"/>
        </w:rPr>
        <w:t xml:space="preserve">7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2664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</w:t>
      </w:r>
      <w:r w:rsidR="00126646">
        <w:rPr>
          <w:rFonts w:ascii="Times New Roman" w:hAnsi="Times New Roman"/>
          <w:sz w:val="24"/>
          <w:szCs w:val="24"/>
        </w:rPr>
        <w:t>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126646">
        <w:rPr>
          <w:rFonts w:ascii="Times New Roman" w:hAnsi="Times New Roman"/>
          <w:sz w:val="24"/>
          <w:szCs w:val="24"/>
        </w:rPr>
        <w:t>проект</w:t>
      </w:r>
      <w:r w:rsidR="00D278BC">
        <w:rPr>
          <w:rFonts w:ascii="Times New Roman" w:hAnsi="Times New Roman"/>
          <w:sz w:val="24"/>
          <w:szCs w:val="24"/>
        </w:rPr>
        <w:t>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45AC"/>
    <w:rsid w:val="00126646"/>
    <w:rsid w:val="0016412E"/>
    <w:rsid w:val="0018467D"/>
    <w:rsid w:val="0018685C"/>
    <w:rsid w:val="00192D06"/>
    <w:rsid w:val="001C27F9"/>
    <w:rsid w:val="001D000B"/>
    <w:rsid w:val="001D352A"/>
    <w:rsid w:val="00207B73"/>
    <w:rsid w:val="0023476A"/>
    <w:rsid w:val="002E5F34"/>
    <w:rsid w:val="003033B5"/>
    <w:rsid w:val="00364178"/>
    <w:rsid w:val="003879B4"/>
    <w:rsid w:val="003E4B2A"/>
    <w:rsid w:val="00403D4E"/>
    <w:rsid w:val="004A476D"/>
    <w:rsid w:val="004F4DA6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0154D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76A75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9071A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46FB-F87A-47DA-AD76-747561C9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2017-11-06T10:12:00Z</dcterms:created>
  <dcterms:modified xsi:type="dcterms:W3CDTF">2017-11-06T10:12:00Z</dcterms:modified>
</cp:coreProperties>
</file>