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DC26B0" w:rsidRPr="00DC26B0">
        <w:rPr>
          <w:szCs w:val="28"/>
        </w:rPr>
        <w:t>Теоретические основы автоматики и телемеханики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2F7DEC">
      <w:pPr>
        <w:jc w:val="both"/>
      </w:pPr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2F7DEC">
      <w:pPr>
        <w:jc w:val="both"/>
      </w:pPr>
      <w:r w:rsidRPr="000F4FDD">
        <w:t>Специализация</w:t>
      </w:r>
      <w:r>
        <w:t xml:space="preserve"> </w:t>
      </w:r>
      <w:r w:rsidRPr="007E3C95">
        <w:t xml:space="preserve"> – </w:t>
      </w:r>
      <w:r w:rsidRPr="00FD3BBE">
        <w:t>«Телекоммуникационные системы и сети железнодорожного транспорта»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Default="00FA2AA4" w:rsidP="00FA2AA4">
      <w:pPr>
        <w:contextualSpacing/>
        <w:jc w:val="both"/>
      </w:pPr>
      <w:r w:rsidRPr="007E3C95">
        <w:t xml:space="preserve">Дисциплина </w:t>
      </w:r>
      <w:r w:rsidR="00CA4130" w:rsidRPr="00CA4130">
        <w:rPr>
          <w:szCs w:val="28"/>
        </w:rPr>
        <w:t>«</w:t>
      </w:r>
      <w:r w:rsidR="00DC26B0" w:rsidRPr="00DC26B0">
        <w:rPr>
          <w:szCs w:val="28"/>
        </w:rPr>
        <w:t>Теоретические основы автоматики и телемеханики</w:t>
      </w:r>
      <w:r w:rsidR="00CA4130" w:rsidRPr="00CA4130">
        <w:rPr>
          <w:szCs w:val="28"/>
        </w:rPr>
        <w:t>» (Б</w:t>
      </w:r>
      <w:proofErr w:type="gramStart"/>
      <w:r w:rsidR="00CA4130" w:rsidRPr="00CA4130">
        <w:rPr>
          <w:szCs w:val="28"/>
        </w:rPr>
        <w:t>1.Б.</w:t>
      </w:r>
      <w:proofErr w:type="gramEnd"/>
      <w:r w:rsidR="00CA4130" w:rsidRPr="00CA4130">
        <w:rPr>
          <w:szCs w:val="28"/>
        </w:rPr>
        <w:t>3</w:t>
      </w:r>
      <w:r w:rsidR="00DC26B0">
        <w:rPr>
          <w:szCs w:val="28"/>
        </w:rPr>
        <w:t>7</w:t>
      </w:r>
      <w:r w:rsidR="00CA4130" w:rsidRPr="00CA4130">
        <w:rPr>
          <w:szCs w:val="28"/>
        </w:rPr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E67F9F" w:rsidRPr="007E3C95" w:rsidRDefault="00E67F9F" w:rsidP="00E67F9F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E67F9F" w:rsidRPr="006265FB" w:rsidRDefault="00E67F9F" w:rsidP="00E67F9F">
      <w:pPr>
        <w:jc w:val="both"/>
      </w:pPr>
      <w:r w:rsidRPr="006265FB">
        <w:t xml:space="preserve">Целью преподавания дисциплины «Теоретические основы автоматики и телемеханики» является </w:t>
      </w:r>
      <w:r w:rsidRPr="006265FB">
        <w:rPr>
          <w:color w:val="000000"/>
        </w:rPr>
        <w:t>подготовка студента к успешному освоению специальных дисциплин, посвященных изучению принципов построения автоматических и телемеханических систем, использующихся на железнодорожном транспорте</w:t>
      </w:r>
      <w:r w:rsidRPr="006265FB">
        <w:t>.</w:t>
      </w:r>
    </w:p>
    <w:p w:rsidR="00E67F9F" w:rsidRPr="006265FB" w:rsidRDefault="00E67F9F" w:rsidP="00E67F9F">
      <w:pPr>
        <w:jc w:val="both"/>
      </w:pPr>
      <w:r w:rsidRPr="006265FB">
        <w:t>Для достижения поставленных целей решаются следующие задачи:</w:t>
      </w:r>
    </w:p>
    <w:p w:rsidR="00E67F9F" w:rsidRPr="006265FB" w:rsidRDefault="00E67F9F" w:rsidP="00E67F9F">
      <w:pPr>
        <w:numPr>
          <w:ilvl w:val="0"/>
          <w:numId w:val="12"/>
        </w:numPr>
        <w:ind w:left="709" w:hanging="425"/>
        <w:jc w:val="both"/>
      </w:pPr>
      <w:r w:rsidRPr="006265FB">
        <w:t>изучаются особенности элементной базы систем железнодорожной автоматики и телемеханики;</w:t>
      </w:r>
    </w:p>
    <w:p w:rsidR="00E67F9F" w:rsidRPr="006265FB" w:rsidRDefault="00E67F9F" w:rsidP="00E67F9F">
      <w:pPr>
        <w:numPr>
          <w:ilvl w:val="0"/>
          <w:numId w:val="12"/>
        </w:numPr>
        <w:ind w:left="709" w:hanging="425"/>
        <w:jc w:val="both"/>
      </w:pPr>
      <w:r w:rsidRPr="006265FB">
        <w:t>изучаются методы повышения эффективности управления объектами на расстоянии;</w:t>
      </w:r>
    </w:p>
    <w:p w:rsidR="00E67F9F" w:rsidRPr="006265FB" w:rsidRDefault="00E67F9F" w:rsidP="00E67F9F">
      <w:pPr>
        <w:numPr>
          <w:ilvl w:val="0"/>
          <w:numId w:val="12"/>
        </w:numPr>
        <w:ind w:left="709" w:hanging="425"/>
        <w:jc w:val="both"/>
      </w:pPr>
      <w:r w:rsidRPr="006265FB">
        <w:t>изучаются способы моделирования работы узлов систем автоматики и телемеханики.</w:t>
      </w:r>
    </w:p>
    <w:p w:rsidR="00E67F9F" w:rsidRPr="007E3C95" w:rsidRDefault="00E67F9F" w:rsidP="00E67F9F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E67F9F" w:rsidRDefault="00E67F9F" w:rsidP="00E67F9F">
      <w:pPr>
        <w:jc w:val="both"/>
      </w:pPr>
      <w: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67F9F" w:rsidRDefault="00E67F9F" w:rsidP="00E67F9F">
      <w:pPr>
        <w:jc w:val="both"/>
      </w:pPr>
      <w:r>
        <w:t>В результате освоения дисциплины обучающийся должен:</w:t>
      </w:r>
    </w:p>
    <w:p w:rsidR="00E67F9F" w:rsidRPr="006265FB" w:rsidRDefault="00E67F9F" w:rsidP="00E67F9F">
      <w:pPr>
        <w:shd w:val="clear" w:color="auto" w:fill="FFFFFF"/>
        <w:autoSpaceDE w:val="0"/>
        <w:autoSpaceDN w:val="0"/>
        <w:adjustRightInd w:val="0"/>
        <w:jc w:val="both"/>
      </w:pPr>
      <w:r w:rsidRPr="006265FB">
        <w:rPr>
          <w:b/>
        </w:rPr>
        <w:t>Знать:</w:t>
      </w:r>
      <w:r>
        <w:rPr>
          <w:b/>
        </w:rPr>
        <w:t xml:space="preserve"> </w:t>
      </w:r>
      <w:r w:rsidRPr="006265FB">
        <w:t>теоретические основы функционирования элементов автоматики и телемеханики;</w:t>
      </w:r>
    </w:p>
    <w:p w:rsidR="00E67F9F" w:rsidRPr="006265FB" w:rsidRDefault="00E67F9F" w:rsidP="00E67F9F">
      <w:pPr>
        <w:jc w:val="both"/>
      </w:pPr>
      <w:r w:rsidRPr="006265FB">
        <w:t xml:space="preserve">принципы построения телемеханических систем и систем телеизмерения; </w:t>
      </w:r>
    </w:p>
    <w:p w:rsidR="00E67F9F" w:rsidRPr="006265FB" w:rsidRDefault="00E67F9F" w:rsidP="00E67F9F">
      <w:pPr>
        <w:jc w:val="both"/>
      </w:pPr>
      <w:r w:rsidRPr="006265FB">
        <w:t xml:space="preserve">перспективные направления развития и совершенствования отечественных и зарубежных устройств автоматики и телемеханики; </w:t>
      </w:r>
    </w:p>
    <w:p w:rsidR="00E67F9F" w:rsidRPr="006265FB" w:rsidRDefault="00E67F9F" w:rsidP="00E67F9F">
      <w:pPr>
        <w:jc w:val="both"/>
      </w:pPr>
      <w:r w:rsidRPr="006265FB">
        <w:t xml:space="preserve">конструкцию, принцип действия и характеристики основных элементов автоматики и телемеханики; </w:t>
      </w:r>
    </w:p>
    <w:p w:rsidR="00E67F9F" w:rsidRPr="006265FB" w:rsidRDefault="00E67F9F" w:rsidP="00E67F9F">
      <w:pPr>
        <w:jc w:val="both"/>
      </w:pPr>
      <w:r w:rsidRPr="006265FB">
        <w:t xml:space="preserve">принципы построения и основные узлы систем автоматического управления и телемеханических систем; </w:t>
      </w:r>
    </w:p>
    <w:p w:rsidR="00E67F9F" w:rsidRPr="006265FB" w:rsidRDefault="00E67F9F" w:rsidP="00E67F9F">
      <w:pPr>
        <w:jc w:val="both"/>
      </w:pPr>
      <w:r w:rsidRPr="006265FB">
        <w:t>средства</w:t>
      </w:r>
      <w:r>
        <w:t xml:space="preserve"> </w:t>
      </w:r>
      <w:r w:rsidRPr="006265FB">
        <w:t>и</w:t>
      </w:r>
      <w:r>
        <w:t xml:space="preserve"> </w:t>
      </w:r>
      <w:r w:rsidRPr="006265FB">
        <w:t>методы повышения безопасности в системах обеспечения движения поездов.</w:t>
      </w:r>
    </w:p>
    <w:p w:rsidR="00E67F9F" w:rsidRPr="006265FB" w:rsidRDefault="00E67F9F" w:rsidP="00E67F9F">
      <w:pPr>
        <w:shd w:val="clear" w:color="auto" w:fill="FFFFFF"/>
        <w:autoSpaceDE w:val="0"/>
        <w:autoSpaceDN w:val="0"/>
        <w:adjustRightInd w:val="0"/>
        <w:jc w:val="both"/>
      </w:pPr>
      <w:r w:rsidRPr="006265FB">
        <w:rPr>
          <w:b/>
        </w:rPr>
        <w:t>Уметь:</w:t>
      </w:r>
      <w:r>
        <w:rPr>
          <w:b/>
        </w:rPr>
        <w:t xml:space="preserve"> </w:t>
      </w:r>
      <w:r w:rsidRPr="006265FB">
        <w:t>использовать на практике знания о конструкции элементов автоматики и телемеханики, способах управления объектами железнодорожной автоматики и телемеханики</w:t>
      </w:r>
      <w:r>
        <w:t xml:space="preserve"> </w:t>
      </w:r>
      <w:r w:rsidRPr="006265FB">
        <w:t xml:space="preserve">при обслуживании систем железнодорожной автоматики и телемеханики; </w:t>
      </w:r>
    </w:p>
    <w:p w:rsidR="00E67F9F" w:rsidRPr="006265FB" w:rsidRDefault="00E67F9F" w:rsidP="00E67F9F">
      <w:pPr>
        <w:jc w:val="both"/>
      </w:pPr>
      <w:r w:rsidRPr="006265FB">
        <w:t>читать</w:t>
      </w:r>
      <w:r>
        <w:t xml:space="preserve"> </w:t>
      </w:r>
      <w:r w:rsidRPr="006265FB">
        <w:t>и анализировать электрические схемы систем управления исполнительными машинами;</w:t>
      </w:r>
    </w:p>
    <w:p w:rsidR="00E67F9F" w:rsidRPr="006265FB" w:rsidRDefault="00E67F9F" w:rsidP="00E67F9F">
      <w:pPr>
        <w:jc w:val="both"/>
      </w:pPr>
      <w:r w:rsidRPr="006265FB">
        <w:t>осуществить выбор и расчет элементов автоматики для конкретных целей, производить проектирование и анализ функционирования автоматических и телемеханических систем.</w:t>
      </w:r>
    </w:p>
    <w:p w:rsidR="00E67F9F" w:rsidRPr="006265FB" w:rsidRDefault="00E67F9F" w:rsidP="00E67F9F">
      <w:pPr>
        <w:shd w:val="clear" w:color="auto" w:fill="FFFFFF"/>
        <w:autoSpaceDE w:val="0"/>
        <w:autoSpaceDN w:val="0"/>
        <w:adjustRightInd w:val="0"/>
        <w:jc w:val="both"/>
      </w:pPr>
      <w:r w:rsidRPr="006265FB">
        <w:rPr>
          <w:b/>
        </w:rPr>
        <w:t>Владеть:</w:t>
      </w:r>
      <w:r>
        <w:rPr>
          <w:b/>
        </w:rPr>
        <w:t xml:space="preserve"> </w:t>
      </w:r>
      <w:r w:rsidRPr="006265FB">
        <w:t>методами обоснования выбора элементов для построения систем железнодорожной автоматики и телемеханики;</w:t>
      </w:r>
    </w:p>
    <w:p w:rsidR="00E67F9F" w:rsidRPr="006265FB" w:rsidRDefault="00E67F9F" w:rsidP="00E67F9F">
      <w:pPr>
        <w:jc w:val="both"/>
      </w:pPr>
      <w:r w:rsidRPr="006265FB">
        <w:t>инженерными и формальными методами описания и анализа функционирования устройств железнодорожной автоматики и телемеханики.</w:t>
      </w:r>
    </w:p>
    <w:p w:rsidR="00E67F9F" w:rsidRPr="005B4BF9" w:rsidRDefault="00E67F9F" w:rsidP="00E67F9F">
      <w:pPr>
        <w:jc w:val="both"/>
      </w:pPr>
      <w:r w:rsidRPr="00F00872">
        <w:t>Изучение дисциплины направлено на формирование следующих</w:t>
      </w:r>
      <w:r w:rsidRPr="003257CA">
        <w:t xml:space="preserve"> </w:t>
      </w:r>
      <w:r>
        <w:t xml:space="preserve">компетенций: </w:t>
      </w:r>
      <w:r w:rsidRPr="00F00872">
        <w:t>ОК-1</w:t>
      </w:r>
      <w:r>
        <w:t xml:space="preserve">, </w:t>
      </w:r>
      <w:r w:rsidRPr="00F00872">
        <w:t>ОК-2</w:t>
      </w:r>
      <w:r>
        <w:t xml:space="preserve">, </w:t>
      </w:r>
      <w:r w:rsidRPr="00697DB0">
        <w:t>ПК-11</w:t>
      </w:r>
      <w:r>
        <w:t>.</w:t>
      </w:r>
    </w:p>
    <w:p w:rsidR="00E67F9F" w:rsidRDefault="00E67F9F" w:rsidP="00E67F9F">
      <w:pPr>
        <w:rPr>
          <w:b/>
        </w:rPr>
      </w:pPr>
      <w:r>
        <w:rPr>
          <w:b/>
        </w:rPr>
        <w:br w:type="page"/>
      </w:r>
    </w:p>
    <w:p w:rsidR="00E67F9F" w:rsidRPr="007E3C95" w:rsidRDefault="00E67F9F" w:rsidP="00E67F9F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p w:rsidR="00E67F9F" w:rsidRPr="005B4BF9" w:rsidRDefault="00E67F9F" w:rsidP="00E67F9F">
      <w:pPr>
        <w:contextualSpacing/>
        <w:jc w:val="both"/>
      </w:pPr>
      <w:r w:rsidRPr="005B4BF9">
        <w:t>Основные положения</w:t>
      </w:r>
    </w:p>
    <w:p w:rsidR="00E67F9F" w:rsidRPr="005B4BF9" w:rsidRDefault="00E67F9F" w:rsidP="00E67F9F">
      <w:pPr>
        <w:contextualSpacing/>
        <w:jc w:val="both"/>
      </w:pPr>
      <w:r w:rsidRPr="005B4BF9">
        <w:t>Элементы релейного действия</w:t>
      </w:r>
    </w:p>
    <w:p w:rsidR="00E67F9F" w:rsidRPr="005B4BF9" w:rsidRDefault="00E67F9F" w:rsidP="00E67F9F">
      <w:pPr>
        <w:contextualSpacing/>
        <w:jc w:val="both"/>
      </w:pPr>
      <w:r w:rsidRPr="005B4BF9">
        <w:t>Программируемые элементы автоматики, телемеханики и связи</w:t>
      </w:r>
    </w:p>
    <w:p w:rsidR="00E67F9F" w:rsidRPr="005B4BF9" w:rsidRDefault="00E67F9F" w:rsidP="00E67F9F">
      <w:pPr>
        <w:contextualSpacing/>
        <w:jc w:val="both"/>
      </w:pPr>
      <w:r w:rsidRPr="005B4BF9">
        <w:t>Основы телемеханики</w:t>
      </w:r>
    </w:p>
    <w:p w:rsidR="00E67F9F" w:rsidRPr="005B4BF9" w:rsidRDefault="00E67F9F" w:rsidP="00E67F9F">
      <w:pPr>
        <w:contextualSpacing/>
        <w:jc w:val="both"/>
      </w:pPr>
      <w:r w:rsidRPr="005B4BF9">
        <w:t>Кодирование в системах автоматики</w:t>
      </w:r>
    </w:p>
    <w:p w:rsidR="00E67F9F" w:rsidRPr="005B4BF9" w:rsidRDefault="00E67F9F" w:rsidP="00E67F9F">
      <w:pPr>
        <w:contextualSpacing/>
        <w:jc w:val="both"/>
      </w:pPr>
      <w:r w:rsidRPr="005B4BF9">
        <w:t>Телемеханические системы</w:t>
      </w:r>
    </w:p>
    <w:p w:rsidR="00E67F9F" w:rsidRPr="005B4BF9" w:rsidRDefault="00E67F9F" w:rsidP="00E67F9F">
      <w:pPr>
        <w:contextualSpacing/>
        <w:jc w:val="both"/>
      </w:pPr>
      <w:r w:rsidRPr="005B4BF9">
        <w:t>Основные узлы телемеханических систем на современных интегральных микросхемах</w:t>
      </w:r>
    </w:p>
    <w:p w:rsidR="00E67F9F" w:rsidRPr="005B4BF9" w:rsidRDefault="00E67F9F" w:rsidP="00E67F9F">
      <w:pPr>
        <w:contextualSpacing/>
        <w:jc w:val="both"/>
      </w:pPr>
      <w:r w:rsidRPr="005B4BF9">
        <w:t>Моделирование систем автоматики и телемеханики</w:t>
      </w:r>
    </w:p>
    <w:p w:rsidR="0013567D" w:rsidRPr="0016222B" w:rsidRDefault="00E67F9F" w:rsidP="00983674">
      <w:pPr>
        <w:contextualSpacing/>
        <w:jc w:val="both"/>
        <w:rPr>
          <w:b/>
        </w:rPr>
      </w:pPr>
      <w:r>
        <w:rPr>
          <w:b/>
        </w:rPr>
        <w:t>5</w:t>
      </w:r>
      <w:bookmarkStart w:id="0" w:name="_GoBack"/>
      <w:bookmarkEnd w:id="0"/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 w:rsidR="00DC26B0">
        <w:t>7</w:t>
      </w:r>
      <w:r w:rsidRPr="007E3C95">
        <w:t xml:space="preserve"> зачетны</w:t>
      </w:r>
      <w:r w:rsidR="00DC26B0">
        <w:t>х единиц</w:t>
      </w:r>
      <w:r w:rsidRPr="007E3C95">
        <w:t xml:space="preserve"> (</w:t>
      </w:r>
      <w:r w:rsidR="00DC26B0">
        <w:t>252</w:t>
      </w:r>
      <w:r w:rsidRPr="007E3C95">
        <w:t xml:space="preserve"> час.), в том числе:</w:t>
      </w:r>
    </w:p>
    <w:p w:rsidR="000550D0" w:rsidRPr="00B828EA" w:rsidRDefault="000550D0" w:rsidP="000550D0">
      <w:pPr>
        <w:jc w:val="both"/>
      </w:pPr>
      <w:r w:rsidRPr="00B828EA">
        <w:t xml:space="preserve">     Для очной формы обучения: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DC26B0">
        <w:t>48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DC26B0" w:rsidRDefault="00DC26B0" w:rsidP="000550D0">
      <w:pPr>
        <w:jc w:val="both"/>
      </w:pPr>
      <w:r>
        <w:t>лабораторные занятия – 64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DC26B0">
        <w:t>79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 xml:space="preserve">контроль – </w:t>
      </w:r>
      <w:r w:rsidR="00DC26B0">
        <w:t>45</w:t>
      </w:r>
      <w:r>
        <w:t xml:space="preserve"> час.</w:t>
      </w:r>
    </w:p>
    <w:p w:rsidR="000550D0" w:rsidRPr="00962D3D" w:rsidRDefault="000550D0" w:rsidP="000550D0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p w:rsidR="00AC7063" w:rsidRPr="00CB4280" w:rsidRDefault="00AC7063" w:rsidP="00AC7063">
      <w:pPr>
        <w:jc w:val="both"/>
      </w:pPr>
      <w:r w:rsidRPr="00CB4280">
        <w:t xml:space="preserve">    Для очно-заочной формы обучения</w:t>
      </w:r>
      <w:r w:rsidR="00681AB0">
        <w:t xml:space="preserve"> (2014 год набора)</w:t>
      </w:r>
      <w:r w:rsidRPr="00CB4280">
        <w:t>:</w:t>
      </w:r>
    </w:p>
    <w:p w:rsidR="00DC26B0" w:rsidRPr="00B828EA" w:rsidRDefault="00DC26B0" w:rsidP="00DC26B0">
      <w:pPr>
        <w:jc w:val="both"/>
      </w:pPr>
      <w:r w:rsidRPr="00B828EA">
        <w:t xml:space="preserve">лекции – </w:t>
      </w:r>
      <w:r w:rsidR="00681AB0">
        <w:t>34</w:t>
      </w:r>
      <w:r w:rsidRPr="00B828EA">
        <w:t xml:space="preserve"> час.</w:t>
      </w:r>
    </w:p>
    <w:p w:rsidR="00DC26B0" w:rsidRDefault="00DC26B0" w:rsidP="00DC26B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 w:rsidR="00F17883">
        <w:t>16</w:t>
      </w:r>
      <w:r w:rsidRPr="00B828EA">
        <w:t xml:space="preserve"> час.</w:t>
      </w:r>
    </w:p>
    <w:p w:rsidR="00DC26B0" w:rsidRDefault="00DC26B0" w:rsidP="00DC26B0">
      <w:pPr>
        <w:jc w:val="both"/>
      </w:pPr>
      <w:r>
        <w:t xml:space="preserve">лабораторные занятия – </w:t>
      </w:r>
      <w:r w:rsidR="00681AB0">
        <w:t>32</w:t>
      </w:r>
      <w:r>
        <w:t xml:space="preserve"> час.</w:t>
      </w:r>
    </w:p>
    <w:p w:rsidR="00DC26B0" w:rsidRDefault="00DC26B0" w:rsidP="00DC26B0">
      <w:pPr>
        <w:jc w:val="both"/>
      </w:pPr>
      <w:r w:rsidRPr="00B828EA">
        <w:t xml:space="preserve">самостоятельная работа – </w:t>
      </w:r>
      <w:r w:rsidR="00F17883">
        <w:t>1</w:t>
      </w:r>
      <w:r w:rsidR="00681AB0">
        <w:t>23</w:t>
      </w:r>
      <w:r w:rsidRPr="00B828EA">
        <w:t xml:space="preserve"> час.</w:t>
      </w:r>
    </w:p>
    <w:p w:rsidR="00DC26B0" w:rsidRPr="00B828EA" w:rsidRDefault="00DC26B0" w:rsidP="00DC26B0">
      <w:pPr>
        <w:jc w:val="both"/>
      </w:pPr>
      <w:r>
        <w:t xml:space="preserve">контроль – </w:t>
      </w:r>
      <w:r w:rsidR="00F17883">
        <w:t>54</w:t>
      </w:r>
      <w:r>
        <w:t xml:space="preserve"> час.</w:t>
      </w:r>
    </w:p>
    <w:p w:rsidR="00681AB0" w:rsidRDefault="00AC7063" w:rsidP="00681AB0">
      <w:pPr>
        <w:jc w:val="both"/>
      </w:pPr>
      <w:r w:rsidRPr="00CB4280">
        <w:t>Форма контроля знаний</w:t>
      </w:r>
      <w:r w:rsidR="000550D0">
        <w:t xml:space="preserve"> </w:t>
      </w:r>
      <w:r w:rsidRPr="00CB4280">
        <w:t xml:space="preserve">– </w:t>
      </w:r>
      <w:r>
        <w:t>экзамен.</w:t>
      </w:r>
      <w:r w:rsidR="00681AB0" w:rsidRPr="00681AB0">
        <w:t xml:space="preserve"> </w:t>
      </w:r>
    </w:p>
    <w:p w:rsidR="00681AB0" w:rsidRPr="00CB4280" w:rsidRDefault="00681AB0" w:rsidP="00681AB0">
      <w:pPr>
        <w:ind w:firstLine="284"/>
        <w:jc w:val="both"/>
      </w:pPr>
      <w:r w:rsidRPr="00CB4280">
        <w:t>Для очно-заочной формы обучения</w:t>
      </w:r>
      <w:r>
        <w:t xml:space="preserve"> (2015,2016 год набора)</w:t>
      </w:r>
      <w:r w:rsidRPr="00CB4280">
        <w:t>:</w:t>
      </w:r>
    </w:p>
    <w:p w:rsidR="00681AB0" w:rsidRPr="00B828EA" w:rsidRDefault="00681AB0" w:rsidP="00681AB0">
      <w:pPr>
        <w:jc w:val="both"/>
      </w:pPr>
      <w:r w:rsidRPr="00B828EA">
        <w:t xml:space="preserve">лекции – </w:t>
      </w:r>
      <w:r>
        <w:t>32</w:t>
      </w:r>
      <w:r w:rsidRPr="00B828EA">
        <w:t xml:space="preserve"> час.</w:t>
      </w:r>
    </w:p>
    <w:p w:rsidR="00681AB0" w:rsidRDefault="00681AB0" w:rsidP="00681AB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681AB0" w:rsidRDefault="00681AB0" w:rsidP="00681AB0">
      <w:pPr>
        <w:jc w:val="both"/>
      </w:pPr>
      <w:r>
        <w:t>лабораторные занятия – 32 час.</w:t>
      </w:r>
    </w:p>
    <w:p w:rsidR="00681AB0" w:rsidRDefault="00681AB0" w:rsidP="00681AB0">
      <w:pPr>
        <w:jc w:val="both"/>
      </w:pPr>
      <w:r w:rsidRPr="00B828EA">
        <w:t xml:space="preserve">самостоятельная работа – </w:t>
      </w:r>
      <w:r>
        <w:t>118</w:t>
      </w:r>
      <w:r w:rsidRPr="00B828EA">
        <w:t xml:space="preserve"> час.</w:t>
      </w:r>
    </w:p>
    <w:p w:rsidR="00681AB0" w:rsidRPr="00B828EA" w:rsidRDefault="00681AB0" w:rsidP="00681AB0">
      <w:pPr>
        <w:jc w:val="both"/>
      </w:pPr>
      <w:r>
        <w:t>контроль – 54 час.</w:t>
      </w:r>
    </w:p>
    <w:p w:rsidR="00681AB0" w:rsidRPr="00CB4280" w:rsidRDefault="00681AB0" w:rsidP="00681AB0">
      <w:pPr>
        <w:jc w:val="both"/>
      </w:pPr>
      <w:r w:rsidRPr="00CB4280">
        <w:t>Форма контроля знаний</w:t>
      </w:r>
      <w:r>
        <w:t xml:space="preserve"> </w:t>
      </w:r>
      <w:r w:rsidRPr="00CB4280">
        <w:t xml:space="preserve">– </w:t>
      </w:r>
      <w:r>
        <w:t>экзамен.</w:t>
      </w:r>
    </w:p>
    <w:p w:rsidR="00AC7063" w:rsidRPr="001627B0" w:rsidRDefault="00AC7063" w:rsidP="00AC7063">
      <w:pPr>
        <w:overflowPunct w:val="0"/>
        <w:autoSpaceDE w:val="0"/>
        <w:autoSpaceDN w:val="0"/>
        <w:adjustRightInd w:val="0"/>
        <w:jc w:val="both"/>
        <w:textAlignment w:val="baseline"/>
      </w:pPr>
      <w:r w:rsidRPr="001627B0">
        <w:t xml:space="preserve">    Для заочной формы обучения:</w:t>
      </w:r>
    </w:p>
    <w:p w:rsidR="00DC26B0" w:rsidRPr="00B828EA" w:rsidRDefault="00DC26B0" w:rsidP="00DC26B0">
      <w:pPr>
        <w:jc w:val="both"/>
      </w:pPr>
      <w:r w:rsidRPr="00B828EA">
        <w:t xml:space="preserve">лекции – </w:t>
      </w:r>
      <w:r w:rsidR="00F17883">
        <w:t>16</w:t>
      </w:r>
      <w:r w:rsidRPr="00B828EA">
        <w:t xml:space="preserve"> час.</w:t>
      </w:r>
    </w:p>
    <w:p w:rsidR="00DC26B0" w:rsidRDefault="00DC26B0" w:rsidP="00DC26B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 w:rsidR="00F17883">
        <w:t>4</w:t>
      </w:r>
      <w:r w:rsidRPr="00B828EA">
        <w:t xml:space="preserve"> час.</w:t>
      </w:r>
    </w:p>
    <w:p w:rsidR="00DC26B0" w:rsidRDefault="00DC26B0" w:rsidP="00DC26B0">
      <w:pPr>
        <w:jc w:val="both"/>
      </w:pPr>
      <w:r>
        <w:t xml:space="preserve">лабораторные занятия – </w:t>
      </w:r>
      <w:r w:rsidR="00F17883">
        <w:t>12</w:t>
      </w:r>
      <w:r>
        <w:t xml:space="preserve"> час.</w:t>
      </w:r>
    </w:p>
    <w:p w:rsidR="00DC26B0" w:rsidRDefault="00DC26B0" w:rsidP="00DC26B0">
      <w:pPr>
        <w:jc w:val="both"/>
      </w:pPr>
      <w:r w:rsidRPr="00B828EA">
        <w:t xml:space="preserve">самостоятельная работа – </w:t>
      </w:r>
      <w:r w:rsidR="00F17883">
        <w:t>207</w:t>
      </w:r>
      <w:r w:rsidRPr="00B828EA">
        <w:t xml:space="preserve"> час.</w:t>
      </w:r>
    </w:p>
    <w:p w:rsidR="00DC26B0" w:rsidRPr="00B828EA" w:rsidRDefault="00DC26B0" w:rsidP="00DC26B0">
      <w:pPr>
        <w:jc w:val="both"/>
      </w:pPr>
      <w:r>
        <w:t xml:space="preserve">контроль – </w:t>
      </w:r>
      <w:r w:rsidR="00F17883">
        <w:t>13</w:t>
      </w:r>
      <w:r>
        <w:t xml:space="preserve"> час.</w:t>
      </w:r>
    </w:p>
    <w:p w:rsidR="00AC7063" w:rsidRDefault="00AC7063" w:rsidP="00AC7063">
      <w:pPr>
        <w:jc w:val="both"/>
      </w:pPr>
      <w:r w:rsidRPr="001627B0">
        <w:t xml:space="preserve">Форма контроля знаний – </w:t>
      </w:r>
      <w:r>
        <w:t>экзамен</w:t>
      </w:r>
      <w:r w:rsidRPr="001627B0">
        <w:t>.</w:t>
      </w:r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50D0"/>
    <w:rsid w:val="0005682B"/>
    <w:rsid w:val="00091C0D"/>
    <w:rsid w:val="000B1B19"/>
    <w:rsid w:val="0013567D"/>
    <w:rsid w:val="0016222B"/>
    <w:rsid w:val="00241AD9"/>
    <w:rsid w:val="00253DFD"/>
    <w:rsid w:val="002F7DEC"/>
    <w:rsid w:val="00420AA4"/>
    <w:rsid w:val="00481D85"/>
    <w:rsid w:val="004E789B"/>
    <w:rsid w:val="00564247"/>
    <w:rsid w:val="005722E4"/>
    <w:rsid w:val="006754E2"/>
    <w:rsid w:val="00681AB0"/>
    <w:rsid w:val="00732680"/>
    <w:rsid w:val="0073604C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B0139"/>
    <w:rsid w:val="008D2B37"/>
    <w:rsid w:val="00951463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A4130"/>
    <w:rsid w:val="00CC0C76"/>
    <w:rsid w:val="00CD7DC3"/>
    <w:rsid w:val="00D0349A"/>
    <w:rsid w:val="00D2149F"/>
    <w:rsid w:val="00D843CF"/>
    <w:rsid w:val="00DB5250"/>
    <w:rsid w:val="00DC26B0"/>
    <w:rsid w:val="00E67F9F"/>
    <w:rsid w:val="00F17883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A3C74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19</cp:revision>
  <cp:lastPrinted>2016-02-26T10:59:00Z</cp:lastPrinted>
  <dcterms:created xsi:type="dcterms:W3CDTF">2017-10-30T15:13:00Z</dcterms:created>
  <dcterms:modified xsi:type="dcterms:W3CDTF">2017-12-14T13:56:00Z</dcterms:modified>
</cp:coreProperties>
</file>