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78" w:rsidRDefault="002F3778" w:rsidP="002F377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1327B4">
        <w:rPr>
          <w:rFonts w:eastAsia="Times New Roman" w:cs="Times New Roman"/>
          <w:sz w:val="28"/>
          <w:szCs w:val="28"/>
          <w:lang w:eastAsia="ru-RU"/>
        </w:rPr>
        <w:t>Начертательная геометрия и графика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Default="006923AA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д</w:t>
      </w:r>
      <w:r w:rsidR="00104973" w:rsidRPr="00104973">
        <w:rPr>
          <w:rFonts w:eastAsia="Times New Roman" w:cs="Times New Roman"/>
          <w:i/>
          <w:iCs/>
          <w:sz w:val="28"/>
          <w:szCs w:val="28"/>
          <w:lang w:eastAsia="ru-RU"/>
        </w:rPr>
        <w:t>исциплины</w:t>
      </w:r>
    </w:p>
    <w:p w:rsidR="006923AA" w:rsidRPr="00104973" w:rsidRDefault="006923AA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104973" w:rsidRDefault="001327B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НАЧЕРТАТЕЛЬНАЯ ГЕОМЕТРИЯ </w:t>
      </w:r>
      <w:r w:rsidR="00FE1F14">
        <w:rPr>
          <w:rFonts w:eastAsia="Times New Roman" w:cs="Times New Roman"/>
          <w:sz w:val="28"/>
          <w:szCs w:val="28"/>
          <w:lang w:eastAsia="ru-RU"/>
        </w:rPr>
        <w:t>(</w:t>
      </w:r>
      <w:r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.Б.20</w:t>
      </w:r>
      <w:r w:rsidR="00FE1F14">
        <w:rPr>
          <w:rFonts w:eastAsia="Times New Roman" w:cs="Times New Roman"/>
          <w:sz w:val="28"/>
          <w:szCs w:val="28"/>
          <w:lang w:eastAsia="ru-RU"/>
        </w:rPr>
        <w:t>)</w:t>
      </w:r>
    </w:p>
    <w:p w:rsidR="006923AA" w:rsidRPr="00104973" w:rsidRDefault="006923AA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923AA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6923AA">
        <w:rPr>
          <w:rFonts w:eastAsia="Times New Roman" w:cs="Times New Roman"/>
          <w:i/>
          <w:sz w:val="28"/>
          <w:szCs w:val="28"/>
          <w:lang w:eastAsia="ru-RU"/>
        </w:rPr>
        <w:t>для специальности</w:t>
      </w:r>
    </w:p>
    <w:p w:rsidR="006923AA" w:rsidRPr="00104973" w:rsidRDefault="006923AA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327B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6923AA" w:rsidRPr="00104973" w:rsidRDefault="006923AA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6923AA" w:rsidRDefault="006923AA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с</w:t>
      </w:r>
      <w:r w:rsidR="00104973" w:rsidRPr="006923AA">
        <w:rPr>
          <w:rFonts w:eastAsia="Times New Roman" w:cs="Times New Roman"/>
          <w:i/>
          <w:sz w:val="28"/>
          <w:szCs w:val="28"/>
          <w:lang w:eastAsia="ru-RU"/>
        </w:rPr>
        <w:t>пециализаци</w:t>
      </w:r>
      <w:r w:rsidR="001327B4" w:rsidRPr="006923AA">
        <w:rPr>
          <w:rFonts w:eastAsia="Times New Roman" w:cs="Times New Roman"/>
          <w:i/>
          <w:sz w:val="28"/>
          <w:szCs w:val="28"/>
          <w:lang w:eastAsia="ru-RU"/>
        </w:rPr>
        <w:t>я</w:t>
      </w:r>
    </w:p>
    <w:p w:rsidR="006923AA" w:rsidRPr="00104973" w:rsidRDefault="006923AA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327B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E07DF8">
        <w:rPr>
          <w:rFonts w:eastAsia="Times New Roman" w:cs="Times New Roman"/>
          <w:sz w:val="28"/>
          <w:szCs w:val="28"/>
          <w:lang w:eastAsia="ru-RU"/>
        </w:rPr>
        <w:t>Высокоскоростной наземный транспорт</w:t>
      </w:r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6923AA" w:rsidRPr="00104973" w:rsidRDefault="006923AA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E1F14" w:rsidRDefault="00FE1F1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E1F14" w:rsidRDefault="00FE1F1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E1F14" w:rsidRDefault="00FE1F1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E1F14" w:rsidRDefault="00FE1F1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E1F14" w:rsidRDefault="00FE1F1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1327B4">
        <w:rPr>
          <w:rFonts w:eastAsia="Times New Roman" w:cs="Times New Roman"/>
          <w:sz w:val="28"/>
          <w:szCs w:val="28"/>
          <w:lang w:eastAsia="ru-RU"/>
        </w:rPr>
        <w:t>16</w:t>
      </w:r>
    </w:p>
    <w:p w:rsidR="008863CC" w:rsidRPr="00104973" w:rsidRDefault="008863C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886"/>
            <wp:effectExtent l="0" t="0" r="0" b="0"/>
            <wp:docPr id="7" name="Рисунок 7" descr="C:\Users\НГИКГ\Desktop\2017-10-27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ГИКГ\Desktop\2017-10-27\003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CC" w:rsidRDefault="008863C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DD645F2" wp14:editId="40462217">
            <wp:extent cx="5872480" cy="8306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480" cy="830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3CC" w:rsidRDefault="008863C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863CC" w:rsidRDefault="008863C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863CC" w:rsidRDefault="008863C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863CC" w:rsidRDefault="008863C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890CAB">
        <w:rPr>
          <w:rFonts w:eastAsia="Times New Roman" w:cs="Times New Roman"/>
          <w:sz w:val="28"/>
          <w:szCs w:val="28"/>
          <w:lang w:eastAsia="ru-RU"/>
        </w:rPr>
        <w:t>17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890CAB">
        <w:rPr>
          <w:rFonts w:eastAsia="Times New Roman" w:cs="Times New Roman"/>
          <w:sz w:val="28"/>
          <w:szCs w:val="28"/>
          <w:lang w:eastAsia="ru-RU"/>
        </w:rPr>
        <w:t>октября 2016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D83707">
        <w:rPr>
          <w:rFonts w:eastAsia="Times New Roman" w:cs="Times New Roman"/>
          <w:sz w:val="28"/>
          <w:szCs w:val="28"/>
          <w:lang w:eastAsia="ru-RU"/>
        </w:rPr>
        <w:t>1295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890CAB">
        <w:rPr>
          <w:rFonts w:eastAsia="Times New Roman" w:cs="Times New Roman"/>
          <w:sz w:val="28"/>
          <w:szCs w:val="28"/>
          <w:lang w:eastAsia="ru-RU"/>
        </w:rPr>
        <w:t>23.05.03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890CAB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890CAB">
        <w:rPr>
          <w:rFonts w:eastAsia="Times New Roman" w:cs="Times New Roman"/>
          <w:sz w:val="28"/>
          <w:szCs w:val="28"/>
          <w:lang w:eastAsia="ru-RU"/>
        </w:rPr>
        <w:t>Начертательная геометрия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890CAB" w:rsidRDefault="00890CAB" w:rsidP="00890CA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Целью изучения дисциплины «Начертательная геометрия» является 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:rsidR="00890CAB" w:rsidRPr="009E7230" w:rsidRDefault="00890CAB" w:rsidP="00890CA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решаются следующие задачи</w:t>
      </w:r>
      <w:r w:rsidRPr="00FB5A1B">
        <w:rPr>
          <w:color w:val="000000"/>
          <w:sz w:val="28"/>
          <w:szCs w:val="28"/>
        </w:rPr>
        <w:t>:</w:t>
      </w:r>
    </w:p>
    <w:p w:rsidR="00890CAB" w:rsidRPr="00FB5A1B" w:rsidRDefault="00890CAB" w:rsidP="00890C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5A1B">
        <w:rPr>
          <w:rFonts w:ascii="Times New Roman" w:hAnsi="Times New Roman" w:cs="Times New Roman"/>
          <w:color w:val="000000"/>
          <w:sz w:val="28"/>
          <w:szCs w:val="28"/>
        </w:rPr>
        <w:t xml:space="preserve">овладеть навыками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построения аксонометрических проекций;</w:t>
      </w:r>
    </w:p>
    <w:p w:rsidR="00890CAB" w:rsidRPr="00946D93" w:rsidRDefault="00890CAB" w:rsidP="00890C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9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46D93">
        <w:rPr>
          <w:rFonts w:ascii="Times New Roman" w:hAnsi="Times New Roman" w:cs="Times New Roman"/>
          <w:sz w:val="28"/>
          <w:szCs w:val="28"/>
        </w:rPr>
        <w:t xml:space="preserve"> способы задания точки, прямой, плоскости и многогранников на комплексном чертеже Монжа; способы преобразования чертежей, виды многогранников, кривых линий и поверхностей</w:t>
      </w:r>
      <w:r w:rsidRPr="00946D9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0CAB" w:rsidRDefault="00890CAB" w:rsidP="00890C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5A1B">
        <w:rPr>
          <w:rFonts w:ascii="Times New Roman" w:hAnsi="Times New Roman" w:cs="Times New Roman"/>
          <w:color w:val="000000"/>
          <w:sz w:val="28"/>
          <w:szCs w:val="28"/>
        </w:rPr>
        <w:t xml:space="preserve">привить навыки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построения аксонометрических проекций</w:t>
      </w:r>
    </w:p>
    <w:p w:rsidR="00890CAB" w:rsidRPr="00FB5A1B" w:rsidRDefault="00890CAB" w:rsidP="00890C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A1B">
        <w:rPr>
          <w:rFonts w:ascii="Times New Roman" w:hAnsi="Times New Roman" w:cs="Times New Roman"/>
          <w:color w:val="000000"/>
          <w:sz w:val="28"/>
          <w:szCs w:val="28"/>
        </w:rPr>
        <w:t xml:space="preserve">- изучить возможности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прикладных программ автоматизированного проектирования.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6DF9" w:rsidRPr="00104973" w:rsidRDefault="00106DF9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890CAB" w:rsidRPr="0095785A" w:rsidRDefault="00890CAB" w:rsidP="00890CAB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задания точки, прямой, плоскости и многогранников на комплексном чертеже Монжа; способы преобразования чертежей, виды многогранников, кривых линий и поверхностей;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890CAB" w:rsidRPr="00E708F9" w:rsidRDefault="00890CAB" w:rsidP="00890CAB">
      <w:pPr>
        <w:jc w:val="both"/>
        <w:rPr>
          <w:sz w:val="28"/>
          <w:szCs w:val="28"/>
        </w:rPr>
      </w:pPr>
      <w:r w:rsidRPr="002F6B30">
        <w:rPr>
          <w:sz w:val="28"/>
          <w:szCs w:val="28"/>
        </w:rPr>
        <w:t>с</w:t>
      </w:r>
      <w:r>
        <w:rPr>
          <w:sz w:val="28"/>
          <w:szCs w:val="28"/>
        </w:rPr>
        <w:t>троить аксонометрические проекции;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890CAB" w:rsidRDefault="00890CAB" w:rsidP="00890CAB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методами построения разверток поверхностей.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A1156E" w:rsidRPr="00A1156E" w:rsidRDefault="00A1156E" w:rsidP="00C07D82">
      <w:pPr>
        <w:widowControl w:val="0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1156E">
        <w:rPr>
          <w:rFonts w:eastAsia="Times New Roman" w:cs="Times New Roman"/>
          <w:sz w:val="28"/>
          <w:szCs w:val="28"/>
          <w:lang w:eastAsia="ru-RU"/>
        </w:rPr>
        <w:t xml:space="preserve">Способность </w:t>
      </w:r>
      <w:r w:rsidRPr="00A1156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применять современные программные средства для </w:t>
      </w:r>
      <w:r w:rsidRPr="00A1156E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разработки проектно-конструкторской</w:t>
      </w:r>
      <w:r w:rsidR="005607E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документации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(ОПК-10).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6DF9" w:rsidRPr="00104973" w:rsidRDefault="00106DF9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A1156E">
        <w:rPr>
          <w:rFonts w:eastAsia="Times New Roman" w:cs="Times New Roman"/>
          <w:sz w:val="28"/>
          <w:szCs w:val="28"/>
          <w:lang w:eastAsia="ru-RU"/>
        </w:rPr>
        <w:t>Начертательная геометрия» Б</w:t>
      </w:r>
      <w:proofErr w:type="gramStart"/>
      <w:r w:rsidR="00A1156E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A1156E">
        <w:rPr>
          <w:rFonts w:eastAsia="Times New Roman" w:cs="Times New Roman"/>
          <w:sz w:val="28"/>
          <w:szCs w:val="28"/>
          <w:lang w:eastAsia="ru-RU"/>
        </w:rPr>
        <w:t>.Б.20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D83707">
        <w:rPr>
          <w:rFonts w:eastAsia="Times New Roman" w:cs="Times New Roman"/>
          <w:sz w:val="28"/>
          <w:szCs w:val="28"/>
          <w:lang w:eastAsia="ru-RU"/>
        </w:rPr>
        <w:t xml:space="preserve">базовой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части и является </w:t>
      </w:r>
      <w:r w:rsidRPr="00D83707">
        <w:rPr>
          <w:rFonts w:eastAsia="Times New Roman" w:cs="Times New Roman"/>
          <w:sz w:val="28"/>
          <w:szCs w:val="28"/>
          <w:lang w:eastAsia="ru-RU"/>
        </w:rPr>
        <w:t>обязательной</w:t>
      </w:r>
      <w:r w:rsidR="00D83707">
        <w:rPr>
          <w:rFonts w:eastAsia="Times New Roman" w:cs="Times New Roman"/>
          <w:sz w:val="28"/>
          <w:szCs w:val="28"/>
          <w:lang w:eastAsia="ru-RU"/>
        </w:rPr>
        <w:t>.</w:t>
      </w:r>
    </w:p>
    <w:p w:rsidR="00106DF9" w:rsidRPr="00104973" w:rsidRDefault="00106DF9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875"/>
      </w:tblGrid>
      <w:tr w:rsidR="00136012" w:rsidRPr="00104973" w:rsidTr="00055AEC">
        <w:trPr>
          <w:jc w:val="center"/>
        </w:trPr>
        <w:tc>
          <w:tcPr>
            <w:tcW w:w="5353" w:type="dxa"/>
            <w:vAlign w:val="center"/>
          </w:tcPr>
          <w:p w:rsidR="00136012" w:rsidRPr="00104973" w:rsidRDefault="00055AE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136012" w:rsidRPr="00104973" w:rsidRDefault="00055AE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875" w:type="dxa"/>
            <w:vAlign w:val="center"/>
          </w:tcPr>
          <w:p w:rsidR="00136012" w:rsidRPr="00104973" w:rsidRDefault="00136012" w:rsidP="00055AE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 1</w:t>
            </w:r>
          </w:p>
        </w:tc>
      </w:tr>
      <w:tr w:rsidR="00136012" w:rsidRPr="00104973" w:rsidTr="00055AEC">
        <w:trPr>
          <w:jc w:val="center"/>
        </w:trPr>
        <w:tc>
          <w:tcPr>
            <w:tcW w:w="5353" w:type="dxa"/>
            <w:vAlign w:val="center"/>
          </w:tcPr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36012" w:rsidRPr="00104973" w:rsidRDefault="0013601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36012" w:rsidRPr="00104973" w:rsidRDefault="0013601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36012" w:rsidRPr="00104973" w:rsidRDefault="0013601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36012" w:rsidRPr="00104973" w:rsidRDefault="002F377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75" w:type="dxa"/>
            <w:vAlign w:val="center"/>
          </w:tcPr>
          <w:p w:rsidR="00136012" w:rsidRPr="00104973" w:rsidRDefault="002F377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36012" w:rsidRPr="00104973" w:rsidTr="00055AEC">
        <w:trPr>
          <w:jc w:val="center"/>
        </w:trPr>
        <w:tc>
          <w:tcPr>
            <w:tcW w:w="5353" w:type="dxa"/>
            <w:vAlign w:val="center"/>
          </w:tcPr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75" w:type="dxa"/>
            <w:vAlign w:val="center"/>
          </w:tcPr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136012" w:rsidRPr="00104973" w:rsidTr="00055AEC">
        <w:trPr>
          <w:jc w:val="center"/>
        </w:trPr>
        <w:tc>
          <w:tcPr>
            <w:tcW w:w="5353" w:type="dxa"/>
            <w:vAlign w:val="center"/>
          </w:tcPr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875" w:type="dxa"/>
            <w:vAlign w:val="center"/>
          </w:tcPr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136012" w:rsidRPr="00104973" w:rsidTr="00055AEC">
        <w:trPr>
          <w:jc w:val="center"/>
        </w:trPr>
        <w:tc>
          <w:tcPr>
            <w:tcW w:w="5353" w:type="dxa"/>
            <w:vAlign w:val="center"/>
          </w:tcPr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1875" w:type="dxa"/>
            <w:vAlign w:val="center"/>
          </w:tcPr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</w:tr>
      <w:tr w:rsidR="00136012" w:rsidRPr="00104973" w:rsidTr="00055AEC">
        <w:trPr>
          <w:jc w:val="center"/>
        </w:trPr>
        <w:tc>
          <w:tcPr>
            <w:tcW w:w="5353" w:type="dxa"/>
            <w:vAlign w:val="center"/>
          </w:tcPr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1875" w:type="dxa"/>
            <w:vAlign w:val="center"/>
          </w:tcPr>
          <w:p w:rsidR="00136012" w:rsidRPr="00104973" w:rsidRDefault="0013601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  <w:r w:rsidR="00665410">
        <w:rPr>
          <w:rFonts w:eastAsia="Times New Roman" w:cs="Times New Roman"/>
          <w:sz w:val="28"/>
          <w:szCs w:val="28"/>
          <w:lang w:eastAsia="ru-RU"/>
        </w:rPr>
        <w:t xml:space="preserve"> для очной формы обучения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33"/>
        <w:gridCol w:w="6121"/>
      </w:tblGrid>
      <w:tr w:rsidR="002675BB" w:rsidTr="0080261C">
        <w:trPr>
          <w:trHeight w:val="1022"/>
        </w:trPr>
        <w:tc>
          <w:tcPr>
            <w:tcW w:w="709" w:type="dxa"/>
            <w:vAlign w:val="center"/>
          </w:tcPr>
          <w:p w:rsidR="002675BB" w:rsidRPr="002A68A5" w:rsidRDefault="002675BB" w:rsidP="00946D45">
            <w:pPr>
              <w:jc w:val="center"/>
              <w:rPr>
                <w:b/>
                <w:sz w:val="28"/>
                <w:szCs w:val="28"/>
              </w:rPr>
            </w:pPr>
            <w:r w:rsidRPr="002A68A5">
              <w:rPr>
                <w:b/>
                <w:sz w:val="28"/>
                <w:szCs w:val="28"/>
              </w:rPr>
              <w:t>№</w:t>
            </w:r>
          </w:p>
          <w:p w:rsidR="002675BB" w:rsidRPr="002A68A5" w:rsidRDefault="002675BB" w:rsidP="00946D45">
            <w:pPr>
              <w:jc w:val="center"/>
              <w:rPr>
                <w:b/>
                <w:sz w:val="28"/>
                <w:szCs w:val="28"/>
              </w:rPr>
            </w:pPr>
            <w:r w:rsidRPr="002A68A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33" w:type="dxa"/>
            <w:vAlign w:val="center"/>
          </w:tcPr>
          <w:p w:rsidR="0080261C" w:rsidRPr="002A68A5" w:rsidRDefault="002675BB" w:rsidP="0080261C">
            <w:pPr>
              <w:jc w:val="center"/>
              <w:rPr>
                <w:b/>
                <w:sz w:val="28"/>
                <w:szCs w:val="28"/>
              </w:rPr>
            </w:pPr>
            <w:r w:rsidRPr="002A68A5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121" w:type="dxa"/>
            <w:vAlign w:val="center"/>
          </w:tcPr>
          <w:p w:rsidR="002675BB" w:rsidRPr="002A68A5" w:rsidRDefault="002675BB" w:rsidP="00946D45">
            <w:pPr>
              <w:jc w:val="center"/>
              <w:rPr>
                <w:b/>
                <w:sz w:val="28"/>
                <w:szCs w:val="28"/>
              </w:rPr>
            </w:pPr>
            <w:r w:rsidRPr="002A68A5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2675BB" w:rsidTr="0080261C">
        <w:trPr>
          <w:trHeight w:val="5942"/>
        </w:trPr>
        <w:tc>
          <w:tcPr>
            <w:tcW w:w="709" w:type="dxa"/>
            <w:vMerge w:val="restart"/>
            <w:vAlign w:val="center"/>
          </w:tcPr>
          <w:p w:rsidR="002675BB" w:rsidRPr="002A68A5" w:rsidRDefault="002675BB" w:rsidP="00946D45">
            <w:pPr>
              <w:jc w:val="center"/>
              <w:rPr>
                <w:b/>
                <w:sz w:val="28"/>
                <w:szCs w:val="28"/>
              </w:rPr>
            </w:pPr>
            <w:r w:rsidRPr="002A68A5">
              <w:rPr>
                <w:b/>
                <w:sz w:val="28"/>
                <w:szCs w:val="28"/>
                <w:lang w:val="en-US"/>
              </w:rPr>
              <w:t>I</w:t>
            </w:r>
          </w:p>
          <w:p w:rsidR="002675BB" w:rsidRPr="002A68A5" w:rsidRDefault="002675BB" w:rsidP="00946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:rsidR="002675BB" w:rsidRPr="002A68A5" w:rsidRDefault="002675BB" w:rsidP="00946D45">
            <w:pPr>
              <w:jc w:val="center"/>
              <w:rPr>
                <w:b/>
                <w:sz w:val="28"/>
                <w:szCs w:val="28"/>
              </w:rPr>
            </w:pPr>
            <w:r w:rsidRPr="002A68A5">
              <w:rPr>
                <w:b/>
                <w:sz w:val="28"/>
                <w:szCs w:val="28"/>
              </w:rPr>
              <w:t>Метод Монжа</w:t>
            </w:r>
          </w:p>
        </w:tc>
        <w:tc>
          <w:tcPr>
            <w:tcW w:w="6121" w:type="dxa"/>
          </w:tcPr>
          <w:p w:rsidR="002675BB" w:rsidRPr="002A68A5" w:rsidRDefault="002675BB" w:rsidP="00B17D23">
            <w:pPr>
              <w:ind w:left="72"/>
              <w:jc w:val="both"/>
              <w:rPr>
                <w:sz w:val="28"/>
                <w:szCs w:val="28"/>
              </w:rPr>
            </w:pPr>
            <w:r w:rsidRPr="002A68A5">
              <w:rPr>
                <w:sz w:val="28"/>
                <w:szCs w:val="28"/>
              </w:rPr>
              <w:t>Предмет «Начертательная геометрия»</w:t>
            </w:r>
            <w:r>
              <w:rPr>
                <w:sz w:val="28"/>
                <w:szCs w:val="28"/>
              </w:rPr>
              <w:t xml:space="preserve">. </w:t>
            </w:r>
            <w:r w:rsidRPr="002A68A5">
              <w:rPr>
                <w:sz w:val="28"/>
                <w:szCs w:val="28"/>
              </w:rPr>
              <w:t>Способы проецирования. Проекция точки</w:t>
            </w:r>
            <w:r>
              <w:rPr>
                <w:sz w:val="28"/>
                <w:szCs w:val="28"/>
              </w:rPr>
              <w:t xml:space="preserve">. </w:t>
            </w:r>
            <w:r w:rsidRPr="002A68A5">
              <w:rPr>
                <w:sz w:val="28"/>
                <w:szCs w:val="28"/>
              </w:rPr>
              <w:t>Ортогональное проецирование</w:t>
            </w:r>
            <w:r>
              <w:rPr>
                <w:sz w:val="28"/>
                <w:szCs w:val="28"/>
              </w:rPr>
              <w:t xml:space="preserve">. </w:t>
            </w:r>
            <w:r w:rsidRPr="002A68A5">
              <w:rPr>
                <w:sz w:val="28"/>
                <w:szCs w:val="28"/>
              </w:rPr>
              <w:t>Система трех плоскостей проекций. Эпюра Монжа.Способы задания прямой на эпюре</w:t>
            </w:r>
            <w:r>
              <w:rPr>
                <w:sz w:val="28"/>
                <w:szCs w:val="28"/>
              </w:rPr>
              <w:t xml:space="preserve">. </w:t>
            </w:r>
            <w:r w:rsidRPr="002A68A5">
              <w:rPr>
                <w:sz w:val="28"/>
                <w:szCs w:val="28"/>
              </w:rPr>
              <w:t>Прямая и точка на прямой</w:t>
            </w:r>
            <w:r>
              <w:rPr>
                <w:sz w:val="28"/>
                <w:szCs w:val="28"/>
              </w:rPr>
              <w:t xml:space="preserve">. </w:t>
            </w:r>
            <w:r w:rsidRPr="002A68A5">
              <w:rPr>
                <w:sz w:val="28"/>
                <w:szCs w:val="28"/>
              </w:rPr>
              <w:t>Частные положения прямых</w:t>
            </w:r>
            <w:r>
              <w:rPr>
                <w:sz w:val="28"/>
                <w:szCs w:val="28"/>
              </w:rPr>
              <w:t xml:space="preserve">. </w:t>
            </w:r>
            <w:r w:rsidRPr="002A68A5">
              <w:rPr>
                <w:sz w:val="28"/>
                <w:szCs w:val="28"/>
              </w:rPr>
              <w:t>Взаимное положение прямых</w:t>
            </w:r>
            <w:r>
              <w:rPr>
                <w:sz w:val="28"/>
                <w:szCs w:val="28"/>
              </w:rPr>
              <w:t xml:space="preserve">. </w:t>
            </w:r>
            <w:r w:rsidRPr="002A68A5">
              <w:rPr>
                <w:sz w:val="28"/>
                <w:szCs w:val="28"/>
              </w:rPr>
              <w:t>Метод конкурирующих точек</w:t>
            </w:r>
            <w:r>
              <w:rPr>
                <w:sz w:val="28"/>
                <w:szCs w:val="28"/>
              </w:rPr>
              <w:t xml:space="preserve">. </w:t>
            </w:r>
            <w:r w:rsidRPr="002A68A5">
              <w:rPr>
                <w:sz w:val="28"/>
                <w:szCs w:val="28"/>
              </w:rPr>
              <w:t>Следы прямой линии</w:t>
            </w:r>
            <w:r>
              <w:rPr>
                <w:sz w:val="28"/>
                <w:szCs w:val="28"/>
              </w:rPr>
              <w:t xml:space="preserve">. </w:t>
            </w:r>
            <w:r w:rsidRPr="002A68A5">
              <w:rPr>
                <w:sz w:val="28"/>
                <w:szCs w:val="28"/>
              </w:rPr>
              <w:t>Определение длины отрезка</w:t>
            </w:r>
            <w:r>
              <w:rPr>
                <w:sz w:val="28"/>
                <w:szCs w:val="28"/>
              </w:rPr>
              <w:t xml:space="preserve"> и углов. </w:t>
            </w:r>
            <w:r w:rsidRPr="002A68A5">
              <w:rPr>
                <w:sz w:val="28"/>
                <w:szCs w:val="28"/>
              </w:rPr>
              <w:t>наклона к плоскостям проекций.Способы задания плоскости на эпюре</w:t>
            </w:r>
            <w:r>
              <w:rPr>
                <w:sz w:val="28"/>
                <w:szCs w:val="28"/>
              </w:rPr>
              <w:t xml:space="preserve">. </w:t>
            </w:r>
            <w:r w:rsidRPr="002A68A5">
              <w:rPr>
                <w:sz w:val="28"/>
                <w:szCs w:val="28"/>
              </w:rPr>
              <w:t>Прямая и точка в плоскости</w:t>
            </w:r>
            <w:r>
              <w:rPr>
                <w:sz w:val="28"/>
                <w:szCs w:val="28"/>
              </w:rPr>
              <w:t xml:space="preserve">. </w:t>
            </w:r>
            <w:r w:rsidRPr="002A68A5">
              <w:rPr>
                <w:sz w:val="28"/>
                <w:szCs w:val="28"/>
              </w:rPr>
              <w:t>Частные положения плоскостей</w:t>
            </w:r>
            <w:r>
              <w:rPr>
                <w:sz w:val="28"/>
                <w:szCs w:val="28"/>
              </w:rPr>
              <w:t xml:space="preserve">. </w:t>
            </w:r>
            <w:r w:rsidRPr="002A68A5">
              <w:rPr>
                <w:sz w:val="28"/>
                <w:szCs w:val="28"/>
              </w:rPr>
              <w:t>Главные линии плоскости</w:t>
            </w:r>
            <w:r>
              <w:rPr>
                <w:sz w:val="28"/>
                <w:szCs w:val="28"/>
              </w:rPr>
              <w:t xml:space="preserve">. </w:t>
            </w:r>
            <w:r w:rsidRPr="002A68A5">
              <w:rPr>
                <w:sz w:val="28"/>
                <w:szCs w:val="28"/>
              </w:rPr>
              <w:t>Пересечение плоскостей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2675BB" w:rsidTr="00FC2D1B">
        <w:trPr>
          <w:trHeight w:val="8637"/>
        </w:trPr>
        <w:tc>
          <w:tcPr>
            <w:tcW w:w="709" w:type="dxa"/>
            <w:vMerge/>
            <w:vAlign w:val="center"/>
          </w:tcPr>
          <w:p w:rsidR="002675BB" w:rsidRPr="00113847" w:rsidRDefault="002675BB" w:rsidP="00946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:rsidR="002675BB" w:rsidRPr="002A68A5" w:rsidRDefault="002675BB" w:rsidP="00946D45">
            <w:pPr>
              <w:jc w:val="center"/>
              <w:rPr>
                <w:b/>
                <w:sz w:val="28"/>
                <w:szCs w:val="28"/>
              </w:rPr>
            </w:pPr>
            <w:r w:rsidRPr="002A68A5">
              <w:rPr>
                <w:b/>
                <w:sz w:val="28"/>
                <w:szCs w:val="28"/>
              </w:rPr>
              <w:t>Способы преобразования. Поверхности</w:t>
            </w:r>
          </w:p>
        </w:tc>
        <w:tc>
          <w:tcPr>
            <w:tcW w:w="6121" w:type="dxa"/>
          </w:tcPr>
          <w:p w:rsidR="002675BB" w:rsidRPr="002A68A5" w:rsidRDefault="002675BB" w:rsidP="00FC2D1B">
            <w:pPr>
              <w:pStyle w:val="a3"/>
              <w:ind w:left="-8"/>
              <w:jc w:val="both"/>
              <w:rPr>
                <w:sz w:val="28"/>
                <w:szCs w:val="28"/>
              </w:rPr>
            </w:pPr>
            <w:r w:rsidRPr="00113847">
              <w:rPr>
                <w:sz w:val="28"/>
                <w:szCs w:val="28"/>
              </w:rPr>
              <w:t>Способ замены плоскостей проекций. Определение величины отрезка прямой и углов наклона его к плоскостям проекций. Определение расстояния от точки до плоскости. Определение величины плоской фигуры.</w:t>
            </w:r>
            <w:r w:rsidR="004E7775">
              <w:rPr>
                <w:sz w:val="28"/>
                <w:szCs w:val="28"/>
              </w:rPr>
              <w:t xml:space="preserve"> Определение расстояния между параллельными прямыми, скрещивающимися прямыми, расстояния от точки до плоскости, величины двугранного угла.</w:t>
            </w:r>
            <w:r w:rsidRPr="00113847">
              <w:rPr>
                <w:sz w:val="28"/>
                <w:szCs w:val="28"/>
              </w:rPr>
              <w:t xml:space="preserve"> Поверхности</w:t>
            </w:r>
            <w:r>
              <w:rPr>
                <w:sz w:val="28"/>
                <w:szCs w:val="28"/>
              </w:rPr>
              <w:t xml:space="preserve">. </w:t>
            </w:r>
            <w:r w:rsidRPr="00113847">
              <w:rPr>
                <w:sz w:val="28"/>
                <w:szCs w:val="28"/>
              </w:rPr>
              <w:t>Многогранники.</w:t>
            </w:r>
            <w:r w:rsidR="004E7775">
              <w:rPr>
                <w:sz w:val="28"/>
                <w:szCs w:val="28"/>
              </w:rPr>
              <w:t xml:space="preserve"> Правильные многогранники, Формула Эйлера.</w:t>
            </w:r>
            <w:r w:rsidRPr="00113847">
              <w:rPr>
                <w:sz w:val="28"/>
                <w:szCs w:val="28"/>
              </w:rPr>
              <w:t xml:space="preserve"> Принадлежность точки поверхностям многогранников</w:t>
            </w:r>
            <w:r>
              <w:rPr>
                <w:sz w:val="28"/>
                <w:szCs w:val="28"/>
              </w:rPr>
              <w:t>.</w:t>
            </w:r>
            <w:r w:rsidRPr="00113847">
              <w:rPr>
                <w:sz w:val="28"/>
                <w:szCs w:val="28"/>
              </w:rPr>
              <w:t xml:space="preserve"> Принадлежность точек кривым поверхностям</w:t>
            </w:r>
            <w:r>
              <w:rPr>
                <w:sz w:val="28"/>
                <w:szCs w:val="28"/>
              </w:rPr>
              <w:t xml:space="preserve">. </w:t>
            </w:r>
            <w:r w:rsidRPr="00113847">
              <w:rPr>
                <w:sz w:val="28"/>
                <w:szCs w:val="28"/>
              </w:rPr>
              <w:t>Прямой круговой конус</w:t>
            </w:r>
            <w:r>
              <w:rPr>
                <w:sz w:val="28"/>
                <w:szCs w:val="28"/>
              </w:rPr>
              <w:t xml:space="preserve">. </w:t>
            </w:r>
            <w:r w:rsidRPr="00113847">
              <w:rPr>
                <w:sz w:val="28"/>
                <w:szCs w:val="28"/>
              </w:rPr>
              <w:t>Прямой круговой цилиндр</w:t>
            </w:r>
            <w:r>
              <w:rPr>
                <w:sz w:val="28"/>
                <w:szCs w:val="28"/>
              </w:rPr>
              <w:t xml:space="preserve">. </w:t>
            </w:r>
            <w:r w:rsidRPr="00113847">
              <w:rPr>
                <w:sz w:val="28"/>
                <w:szCs w:val="28"/>
              </w:rPr>
              <w:t>Сфера</w:t>
            </w:r>
            <w:r>
              <w:rPr>
                <w:sz w:val="28"/>
                <w:szCs w:val="28"/>
              </w:rPr>
              <w:t xml:space="preserve">. </w:t>
            </w:r>
            <w:r w:rsidRPr="00113847">
              <w:rPr>
                <w:sz w:val="28"/>
                <w:szCs w:val="28"/>
              </w:rPr>
              <w:t>Пересечение поверхностей проецирующими плоскостями</w:t>
            </w:r>
            <w:r>
              <w:rPr>
                <w:sz w:val="28"/>
                <w:szCs w:val="28"/>
              </w:rPr>
              <w:t xml:space="preserve">. </w:t>
            </w:r>
            <w:r w:rsidRPr="00113847">
              <w:rPr>
                <w:sz w:val="28"/>
                <w:szCs w:val="28"/>
              </w:rPr>
              <w:t>Определение величины сечения поверхностей плоскостью.Пересечение поверхностей проецирующими плоскостями. Построение проекций линий срезов и вырезов.Пересечение поверхностей прямой линией</w:t>
            </w:r>
            <w:r>
              <w:rPr>
                <w:sz w:val="28"/>
                <w:szCs w:val="28"/>
              </w:rPr>
              <w:t xml:space="preserve">. </w:t>
            </w:r>
            <w:r w:rsidRPr="00113847">
              <w:rPr>
                <w:sz w:val="28"/>
                <w:szCs w:val="28"/>
              </w:rPr>
              <w:t>Многогранник</w:t>
            </w:r>
            <w:r>
              <w:rPr>
                <w:sz w:val="28"/>
                <w:szCs w:val="28"/>
              </w:rPr>
              <w:t xml:space="preserve">. </w:t>
            </w:r>
            <w:r w:rsidRPr="00113847">
              <w:rPr>
                <w:sz w:val="28"/>
                <w:szCs w:val="28"/>
              </w:rPr>
              <w:t>Конус</w:t>
            </w:r>
            <w:r>
              <w:rPr>
                <w:sz w:val="28"/>
                <w:szCs w:val="28"/>
              </w:rPr>
              <w:t xml:space="preserve">. </w:t>
            </w:r>
            <w:r w:rsidRPr="00113847">
              <w:rPr>
                <w:sz w:val="28"/>
                <w:szCs w:val="28"/>
              </w:rPr>
              <w:t>Сфера</w:t>
            </w:r>
            <w:r>
              <w:rPr>
                <w:sz w:val="28"/>
                <w:szCs w:val="28"/>
              </w:rPr>
              <w:t>.</w:t>
            </w:r>
            <w:r w:rsidR="00FC2D1B">
              <w:rPr>
                <w:sz w:val="28"/>
                <w:szCs w:val="28"/>
              </w:rPr>
              <w:t xml:space="preserve"> Цилиндр.</w:t>
            </w:r>
            <w:r w:rsidRPr="00113847">
              <w:rPr>
                <w:sz w:val="28"/>
                <w:szCs w:val="28"/>
              </w:rPr>
              <w:t>Взаимное пересечение поверхностей</w:t>
            </w:r>
            <w:r>
              <w:rPr>
                <w:sz w:val="28"/>
                <w:szCs w:val="28"/>
              </w:rPr>
              <w:t xml:space="preserve">. </w:t>
            </w:r>
            <w:r w:rsidRPr="00113847">
              <w:rPr>
                <w:sz w:val="28"/>
                <w:szCs w:val="28"/>
              </w:rPr>
              <w:t>Способ вспомогательных секущих плоскостей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E07DF8" w:rsidRDefault="00E07DF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E07DF8" w:rsidRDefault="00E07DF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E07DF8" w:rsidRDefault="00E07DF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104973" w:rsidRPr="00104973" w:rsidRDefault="002675B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Метод Монжа</w:t>
            </w:r>
          </w:p>
        </w:tc>
        <w:tc>
          <w:tcPr>
            <w:tcW w:w="992" w:type="dxa"/>
            <w:vAlign w:val="center"/>
          </w:tcPr>
          <w:p w:rsidR="00104973" w:rsidRPr="00104973" w:rsidRDefault="00CA6C40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104973" w:rsidRPr="00104973" w:rsidRDefault="002675B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04973" w:rsidRPr="00104973" w:rsidRDefault="002675B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104973" w:rsidRPr="00104973" w:rsidRDefault="002675B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104973" w:rsidRPr="00104973" w:rsidRDefault="002675B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Способы преобразования. Поверхности</w:t>
            </w:r>
          </w:p>
        </w:tc>
        <w:tc>
          <w:tcPr>
            <w:tcW w:w="992" w:type="dxa"/>
            <w:vAlign w:val="center"/>
          </w:tcPr>
          <w:p w:rsidR="00104973" w:rsidRPr="00104973" w:rsidRDefault="002675BB" w:rsidP="00CA6C4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CA6C40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04973" w:rsidRPr="00104973" w:rsidRDefault="002675B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04973" w:rsidRPr="00104973" w:rsidRDefault="002675B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104973" w:rsidRPr="00104973" w:rsidRDefault="002675B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04973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104973" w:rsidRDefault="002675B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104973" w:rsidRPr="00104973" w:rsidRDefault="002675B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04973" w:rsidRPr="00104973" w:rsidRDefault="002675B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104973" w:rsidRPr="00104973" w:rsidRDefault="002675B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07DF8" w:rsidRDefault="00E07DF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07DF8" w:rsidRPr="00104973" w:rsidRDefault="00E07DF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088"/>
        <w:gridCol w:w="3809"/>
      </w:tblGrid>
      <w:tr w:rsidR="004422F6" w:rsidRPr="009F761D" w:rsidTr="00D21A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422F6" w:rsidRPr="009F761D" w:rsidRDefault="004422F6" w:rsidP="00D21A28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№</w:t>
            </w:r>
          </w:p>
          <w:p w:rsidR="004422F6" w:rsidRPr="009F761D" w:rsidRDefault="004422F6" w:rsidP="00D21A28">
            <w:pPr>
              <w:jc w:val="center"/>
              <w:rPr>
                <w:b/>
                <w:bCs/>
                <w:szCs w:val="28"/>
              </w:rPr>
            </w:pPr>
            <w:proofErr w:type="gramStart"/>
            <w:r w:rsidRPr="009F761D">
              <w:rPr>
                <w:b/>
                <w:bCs/>
                <w:szCs w:val="28"/>
              </w:rPr>
              <w:t>п</w:t>
            </w:r>
            <w:proofErr w:type="gramEnd"/>
            <w:r w:rsidRPr="009F761D">
              <w:rPr>
                <w:b/>
                <w:bCs/>
                <w:szCs w:val="28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22F6" w:rsidRPr="009F761D" w:rsidRDefault="004422F6" w:rsidP="00D21A28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422F6" w:rsidRPr="009F761D" w:rsidRDefault="004422F6" w:rsidP="00D21A28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4422F6" w:rsidRPr="009F761D" w:rsidTr="00D21A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422F6" w:rsidRPr="009F761D" w:rsidRDefault="004422F6" w:rsidP="00D21A2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22F6" w:rsidRPr="009F761D" w:rsidRDefault="004422F6" w:rsidP="00D21A28">
            <w:pPr>
              <w:jc w:val="center"/>
              <w:rPr>
                <w:bCs/>
                <w:szCs w:val="28"/>
              </w:rPr>
            </w:pPr>
            <w:r w:rsidRPr="002A68A5">
              <w:rPr>
                <w:sz w:val="28"/>
                <w:szCs w:val="28"/>
              </w:rPr>
              <w:t>Метод Монжа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422F6" w:rsidRPr="00782A93" w:rsidRDefault="004422F6" w:rsidP="00D21A28">
            <w:pPr>
              <w:pStyle w:val="a8"/>
              <w:rPr>
                <w:sz w:val="28"/>
                <w:szCs w:val="28"/>
              </w:rPr>
            </w:pPr>
            <w:r w:rsidRPr="00665194">
              <w:rPr>
                <w:sz w:val="28"/>
                <w:szCs w:val="28"/>
              </w:rPr>
              <w:t>Начертательная геометрия. Учебник для вузов. Тарасов Б.Ф., Дудкина Л.А., Немолотов С.О. – СПб</w:t>
            </w:r>
            <w:proofErr w:type="gramStart"/>
            <w:r w:rsidRPr="00665194">
              <w:rPr>
                <w:sz w:val="28"/>
                <w:szCs w:val="28"/>
              </w:rPr>
              <w:t xml:space="preserve">.: </w:t>
            </w:r>
            <w:proofErr w:type="gramEnd"/>
            <w:r w:rsidRPr="00665194">
              <w:rPr>
                <w:sz w:val="28"/>
                <w:szCs w:val="28"/>
              </w:rPr>
              <w:t>Издательство «Лань». 20</w:t>
            </w:r>
            <w:r>
              <w:rPr>
                <w:sz w:val="28"/>
                <w:szCs w:val="28"/>
              </w:rPr>
              <w:t>12</w:t>
            </w:r>
            <w:r w:rsidRPr="00665194">
              <w:rPr>
                <w:sz w:val="28"/>
                <w:szCs w:val="28"/>
              </w:rPr>
              <w:t>. – 256 с.</w:t>
            </w:r>
            <w:r>
              <w:rPr>
                <w:sz w:val="28"/>
                <w:szCs w:val="28"/>
              </w:rPr>
              <w:t xml:space="preserve"> </w:t>
            </w:r>
            <w:hyperlink r:id="rId9" w:history="1">
              <w:r w:rsidRPr="00782A93">
                <w:rPr>
                  <w:rStyle w:val="a4"/>
                  <w:color w:val="auto"/>
                  <w:sz w:val="28"/>
                  <w:szCs w:val="28"/>
                  <w:u w:val="none"/>
                </w:rPr>
                <w:t>http://e.lanbook.com/book/3735</w:t>
              </w:r>
            </w:hyperlink>
          </w:p>
          <w:p w:rsidR="004422F6" w:rsidRPr="00665194" w:rsidRDefault="004422F6" w:rsidP="00D21A28">
            <w:pPr>
              <w:shd w:val="clear" w:color="auto" w:fill="FFFFFF"/>
              <w:ind w:right="-5" w:firstLine="708"/>
              <w:jc w:val="both"/>
              <w:rPr>
                <w:sz w:val="28"/>
                <w:szCs w:val="28"/>
              </w:rPr>
            </w:pPr>
          </w:p>
          <w:p w:rsidR="004422F6" w:rsidRPr="009F761D" w:rsidRDefault="004422F6" w:rsidP="00D21A28">
            <w:pPr>
              <w:jc w:val="center"/>
              <w:rPr>
                <w:bCs/>
                <w:szCs w:val="28"/>
              </w:rPr>
            </w:pPr>
          </w:p>
        </w:tc>
      </w:tr>
      <w:tr w:rsidR="004422F6" w:rsidRPr="009F761D" w:rsidTr="00D21A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422F6" w:rsidRPr="009F761D" w:rsidRDefault="004422F6" w:rsidP="00D21A2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22F6" w:rsidRPr="009F761D" w:rsidRDefault="004422F6" w:rsidP="00D21A28">
            <w:pPr>
              <w:jc w:val="center"/>
              <w:rPr>
                <w:bCs/>
                <w:szCs w:val="28"/>
              </w:rPr>
            </w:pPr>
            <w:r w:rsidRPr="009F794C">
              <w:rPr>
                <w:sz w:val="28"/>
                <w:szCs w:val="28"/>
              </w:rPr>
              <w:t>Способы преобразования. Поверхности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422F6" w:rsidRPr="00782A93" w:rsidRDefault="004422F6" w:rsidP="00D21A28">
            <w:pPr>
              <w:pStyle w:val="a8"/>
              <w:rPr>
                <w:sz w:val="28"/>
                <w:szCs w:val="28"/>
              </w:rPr>
            </w:pPr>
            <w:r w:rsidRPr="00665194">
              <w:rPr>
                <w:sz w:val="28"/>
                <w:szCs w:val="28"/>
              </w:rPr>
              <w:t>Начертательная геометрия. Учебник для вузов. Тарасов Б.Ф., Дудкина Л.А., Немолотов С.О. – СПб</w:t>
            </w:r>
            <w:proofErr w:type="gramStart"/>
            <w:r w:rsidRPr="00665194">
              <w:rPr>
                <w:sz w:val="28"/>
                <w:szCs w:val="28"/>
              </w:rPr>
              <w:t xml:space="preserve">.: </w:t>
            </w:r>
            <w:proofErr w:type="gramEnd"/>
            <w:r w:rsidRPr="00665194">
              <w:rPr>
                <w:sz w:val="28"/>
                <w:szCs w:val="28"/>
              </w:rPr>
              <w:t>Издательство «Лань». 20</w:t>
            </w:r>
            <w:r>
              <w:rPr>
                <w:sz w:val="28"/>
                <w:szCs w:val="28"/>
              </w:rPr>
              <w:t>12</w:t>
            </w:r>
            <w:r w:rsidRPr="00665194">
              <w:rPr>
                <w:sz w:val="28"/>
                <w:szCs w:val="28"/>
              </w:rPr>
              <w:t>. – 256 с.</w:t>
            </w:r>
            <w:r>
              <w:rPr>
                <w:sz w:val="28"/>
                <w:szCs w:val="28"/>
              </w:rPr>
              <w:t xml:space="preserve"> </w:t>
            </w:r>
            <w:hyperlink r:id="rId10" w:history="1">
              <w:r w:rsidRPr="00782A93">
                <w:rPr>
                  <w:rStyle w:val="a4"/>
                  <w:color w:val="auto"/>
                  <w:sz w:val="28"/>
                  <w:szCs w:val="28"/>
                  <w:u w:val="none"/>
                </w:rPr>
                <w:t>http://e.lanbook.com/book/3735</w:t>
              </w:r>
            </w:hyperlink>
          </w:p>
          <w:p w:rsidR="004422F6" w:rsidRPr="009F761D" w:rsidRDefault="004422F6" w:rsidP="00D21A28">
            <w:pPr>
              <w:shd w:val="clear" w:color="auto" w:fill="FFFFFF"/>
              <w:ind w:right="-5" w:firstLine="708"/>
              <w:jc w:val="both"/>
              <w:rPr>
                <w:bCs/>
                <w:szCs w:val="28"/>
              </w:rPr>
            </w:pPr>
          </w:p>
        </w:tc>
      </w:tr>
    </w:tbl>
    <w:p w:rsidR="004422F6" w:rsidRDefault="004422F6" w:rsidP="004422F6">
      <w:pPr>
        <w:rPr>
          <w:bCs/>
          <w:sz w:val="28"/>
          <w:szCs w:val="28"/>
        </w:rPr>
      </w:pPr>
    </w:p>
    <w:p w:rsidR="004422F6" w:rsidRPr="00104973" w:rsidRDefault="004422F6" w:rsidP="004422F6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422F6" w:rsidRPr="00104973" w:rsidRDefault="004422F6" w:rsidP="004422F6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4422F6" w:rsidRPr="00104973" w:rsidRDefault="004422F6" w:rsidP="004422F6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422F6" w:rsidRPr="00104973" w:rsidRDefault="004422F6" w:rsidP="004422F6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422F6" w:rsidRPr="00104973" w:rsidRDefault="004422F6" w:rsidP="004422F6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422F6" w:rsidRPr="00104973" w:rsidRDefault="004422F6" w:rsidP="004422F6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422F6" w:rsidRPr="00104973" w:rsidRDefault="004422F6" w:rsidP="004422F6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422F6" w:rsidRDefault="004422F6" w:rsidP="004422F6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8.1 </w:t>
      </w:r>
      <w:r>
        <w:rPr>
          <w:rFonts w:eastAsia="Times New Roman" w:cs="Times New Roman"/>
          <w:bCs/>
          <w:sz w:val="28"/>
          <w:szCs w:val="28"/>
          <w:lang w:eastAsia="ru-RU"/>
        </w:rPr>
        <w:t>Перечень основной учебной литературы, необходимой для освоения дисциплины</w:t>
      </w:r>
    </w:p>
    <w:p w:rsidR="004422F6" w:rsidRPr="00782A93" w:rsidRDefault="004422F6" w:rsidP="004422F6">
      <w:pPr>
        <w:pStyle w:val="a8"/>
        <w:rPr>
          <w:sz w:val="28"/>
          <w:szCs w:val="28"/>
        </w:rPr>
      </w:pPr>
      <w:r>
        <w:rPr>
          <w:sz w:val="28"/>
          <w:szCs w:val="28"/>
        </w:rPr>
        <w:t>1. Начертательная геометрия/ Тарасов. Б.Ф., Дудкина Л.А., Немолотов С.О./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Лань, 2012. – 256 с. </w:t>
      </w:r>
      <w:hyperlink r:id="rId11" w:history="1">
        <w:r w:rsidRPr="00782A93">
          <w:rPr>
            <w:rStyle w:val="a4"/>
            <w:color w:val="auto"/>
            <w:sz w:val="28"/>
            <w:szCs w:val="28"/>
            <w:u w:val="none"/>
          </w:rPr>
          <w:t>http://e.lanbook.com/book/3735</w:t>
        </w:r>
      </w:hyperlink>
    </w:p>
    <w:p w:rsidR="004422F6" w:rsidRPr="00782A93" w:rsidRDefault="004422F6" w:rsidP="004422F6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>2. Начертательная геометрия в компьютерных технологиях. Ч.1.: учебное пособие / Елисеев Н.А., Кондрат М.Д., Параскевопуло Ю.Г., Третьяков Д.В. – 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ПГУПС, 2010 – 34 с. </w:t>
      </w:r>
      <w:hyperlink r:id="rId12" w:history="1">
        <w:r w:rsidRPr="00782A93">
          <w:rPr>
            <w:rStyle w:val="a4"/>
            <w:color w:val="auto"/>
            <w:sz w:val="28"/>
            <w:szCs w:val="28"/>
            <w:u w:val="none"/>
          </w:rPr>
          <w:t>http://e.lanbook.com/book/91130</w:t>
        </w:r>
      </w:hyperlink>
      <w:r>
        <w:rPr>
          <w:sz w:val="28"/>
          <w:szCs w:val="28"/>
        </w:rPr>
        <w:t>.</w:t>
      </w:r>
    </w:p>
    <w:p w:rsidR="004422F6" w:rsidRPr="00782A93" w:rsidRDefault="004422F6" w:rsidP="004422F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3. Начертательная геометрия в компьютерных технологиях. Ч.2.: учебное пособие / Елисеев Н.А., Кондрат М.Д., Параскевопуло Ю.Г., Третьяков Д.В. – 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2011. –  44 с.</w:t>
      </w:r>
      <w:r w:rsidRPr="00782A93">
        <w:rPr>
          <w:sz w:val="28"/>
          <w:szCs w:val="28"/>
        </w:rPr>
        <w:t xml:space="preserve"> </w:t>
      </w:r>
      <w:hyperlink r:id="rId13" w:history="1">
        <w:r w:rsidRPr="00782A93">
          <w:rPr>
            <w:rStyle w:val="a4"/>
            <w:color w:val="auto"/>
            <w:sz w:val="28"/>
            <w:szCs w:val="28"/>
            <w:u w:val="none"/>
          </w:rPr>
          <w:t>http://e.lanbook.com/book/91126.</w:t>
        </w:r>
      </w:hyperlink>
    </w:p>
    <w:p w:rsidR="004422F6" w:rsidRDefault="004422F6" w:rsidP="004422F6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4422F6" w:rsidRDefault="004422F6" w:rsidP="004422F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Построение аксонометрических проекций (учебное пособие) / Александров С.О., Елисеев Н.А., Параскевопуло Ю.Г., Третьяков Д.В. 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2006. – 55 с.</w:t>
      </w:r>
    </w:p>
    <w:p w:rsidR="004422F6" w:rsidRDefault="004422F6" w:rsidP="004422F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Становление и развитие основ теории начертательной геометр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приложений в ИКИПС-ПГУПС: учебное пособие / Н. А. Елисеев, Ю. Г. Параскевопуло. – 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2011. – 88 с.;</w:t>
      </w:r>
    </w:p>
    <w:p w:rsidR="004422F6" w:rsidRDefault="004422F6" w:rsidP="004422F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Правила оформления отчетов, курсовых и дипломных проектов/учебное пособие/ О.Г. Параскевопуло, Ю.Г. Параскевопуло, С.О. Александров – СПб: ПГУПС, 2005. – 42с.</w:t>
      </w:r>
    </w:p>
    <w:p w:rsidR="004422F6" w:rsidRDefault="004422F6" w:rsidP="004422F6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4422F6" w:rsidRDefault="004422F6" w:rsidP="004422F6">
      <w:pPr>
        <w:spacing w:after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1.    </w:t>
      </w:r>
      <w:r>
        <w:rPr>
          <w:bCs/>
          <w:sz w:val="28"/>
          <w:szCs w:val="28"/>
        </w:rPr>
        <w:t>ГОСТ 9150-2002</w:t>
      </w:r>
      <w:r>
        <w:rPr>
          <w:sz w:val="28"/>
          <w:szCs w:val="28"/>
        </w:rPr>
        <w:t xml:space="preserve">–М.: </w:t>
      </w:r>
      <w:r>
        <w:rPr>
          <w:color w:val="333333"/>
          <w:sz w:val="28"/>
          <w:szCs w:val="28"/>
          <w:shd w:val="clear" w:color="auto" w:fill="FFFFFF"/>
        </w:rPr>
        <w:t>Издательство стандартов,2002.</w:t>
      </w:r>
    </w:p>
    <w:p w:rsidR="004422F6" w:rsidRDefault="004422F6" w:rsidP="004422F6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2.    ГОСТ 8724-81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:</w:t>
      </w:r>
      <w:r>
        <w:rPr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color w:val="000000"/>
          <w:sz w:val="28"/>
          <w:szCs w:val="28"/>
          <w:shd w:val="clear" w:color="auto" w:fill="FFFFFF"/>
        </w:rPr>
        <w:t>омитет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стандартизации и метрологии СССР,1981.</w:t>
      </w:r>
    </w:p>
    <w:p w:rsidR="004422F6" w:rsidRDefault="004422F6" w:rsidP="004422F6">
      <w:pP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3.</w:t>
      </w:r>
      <w:r>
        <w:rPr>
          <w:color w:val="333333"/>
          <w:sz w:val="28"/>
          <w:szCs w:val="28"/>
          <w:shd w:val="clear" w:color="auto" w:fill="FFFFFF"/>
        </w:rPr>
        <w:t>ГОСТ 5264-80</w:t>
      </w:r>
      <w:r>
        <w:rPr>
          <w:sz w:val="28"/>
          <w:szCs w:val="28"/>
        </w:rPr>
        <w:t>–М.</w:t>
      </w:r>
      <w:proofErr w:type="gramStart"/>
      <w:r>
        <w:rPr>
          <w:sz w:val="28"/>
          <w:szCs w:val="28"/>
        </w:rPr>
        <w:t>:</w:t>
      </w:r>
      <w:r>
        <w:rPr>
          <w:color w:val="333333"/>
          <w:sz w:val="28"/>
          <w:szCs w:val="28"/>
          <w:shd w:val="clear" w:color="auto" w:fill="FFFFFF"/>
        </w:rPr>
        <w:t>С</w:t>
      </w:r>
      <w:proofErr w:type="gramEnd"/>
      <w:r>
        <w:rPr>
          <w:color w:val="333333"/>
          <w:sz w:val="28"/>
          <w:szCs w:val="28"/>
          <w:shd w:val="clear" w:color="auto" w:fill="FFFFFF"/>
        </w:rPr>
        <w:t>тандартинформ,2005.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A1FA8" w:rsidRDefault="004A1FA8" w:rsidP="00647256">
      <w:pPr>
        <w:ind w:firstLine="851"/>
        <w:jc w:val="both"/>
        <w:rPr>
          <w:bCs/>
          <w:sz w:val="28"/>
          <w:szCs w:val="28"/>
        </w:rPr>
      </w:pPr>
    </w:p>
    <w:p w:rsidR="006D3143" w:rsidRPr="0024216F" w:rsidRDefault="006D3143" w:rsidP="006D3143">
      <w:pPr>
        <w:pStyle w:val="a3"/>
        <w:numPr>
          <w:ilvl w:val="0"/>
          <w:numId w:val="31"/>
        </w:numPr>
        <w:rPr>
          <w:rFonts w:cs="Times New Roman"/>
        </w:rPr>
      </w:pPr>
      <w:r w:rsidRPr="00175886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175886">
        <w:rPr>
          <w:rFonts w:eastAsia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175886">
        <w:rPr>
          <w:rFonts w:eastAsia="Times New Roman" w:cs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175886">
        <w:rPr>
          <w:rFonts w:cs="Times New Roman"/>
          <w:sz w:val="28"/>
          <w:szCs w:val="28"/>
        </w:rPr>
        <w:t xml:space="preserve">[Электронный ресурс]. – Режим доступа: </w:t>
      </w:r>
      <w:r w:rsidRPr="00175886">
        <w:rPr>
          <w:rFonts w:cs="Times New Roman"/>
          <w:sz w:val="28"/>
          <w:szCs w:val="28"/>
          <w:lang w:val="en-US"/>
        </w:rPr>
        <w:t>http</w:t>
      </w:r>
      <w:r w:rsidRPr="00175886">
        <w:rPr>
          <w:rFonts w:cs="Times New Roman"/>
          <w:sz w:val="28"/>
          <w:szCs w:val="28"/>
        </w:rPr>
        <w:t>://</w:t>
      </w:r>
      <w:proofErr w:type="spellStart"/>
      <w:r w:rsidRPr="00175886">
        <w:rPr>
          <w:rFonts w:cs="Times New Roman"/>
          <w:sz w:val="28"/>
          <w:szCs w:val="28"/>
          <w:lang w:val="en-US"/>
        </w:rPr>
        <w:t>sdo</w:t>
      </w:r>
      <w:proofErr w:type="spellEnd"/>
      <w:r w:rsidRPr="00175886">
        <w:rPr>
          <w:rFonts w:cs="Times New Roman"/>
          <w:sz w:val="28"/>
          <w:szCs w:val="28"/>
        </w:rPr>
        <w:t>.</w:t>
      </w:r>
      <w:proofErr w:type="spellStart"/>
      <w:r w:rsidRPr="00175886">
        <w:rPr>
          <w:rFonts w:cs="Times New Roman"/>
          <w:sz w:val="28"/>
          <w:szCs w:val="28"/>
          <w:lang w:val="en-US"/>
        </w:rPr>
        <w:t>pgups</w:t>
      </w:r>
      <w:proofErr w:type="spellEnd"/>
      <w:r w:rsidRPr="00175886">
        <w:rPr>
          <w:rFonts w:cs="Times New Roman"/>
          <w:sz w:val="28"/>
          <w:szCs w:val="28"/>
        </w:rPr>
        <w:t>.</w:t>
      </w:r>
      <w:proofErr w:type="spellStart"/>
      <w:r w:rsidRPr="00175886">
        <w:rPr>
          <w:rFonts w:cs="Times New Roman"/>
          <w:sz w:val="28"/>
          <w:szCs w:val="28"/>
          <w:lang w:val="en-US"/>
        </w:rPr>
        <w:t>ru</w:t>
      </w:r>
      <w:proofErr w:type="spellEnd"/>
      <w:r w:rsidRPr="00175886">
        <w:rPr>
          <w:rFonts w:cs="Times New Roman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6D3143" w:rsidRPr="00674DBC" w:rsidRDefault="008863CC" w:rsidP="006D3143">
      <w:pPr>
        <w:pStyle w:val="a3"/>
        <w:numPr>
          <w:ilvl w:val="0"/>
          <w:numId w:val="31"/>
        </w:numPr>
        <w:jc w:val="both"/>
        <w:rPr>
          <w:bCs/>
          <w:color w:val="000000" w:themeColor="text1"/>
          <w:sz w:val="28"/>
          <w:szCs w:val="28"/>
        </w:rPr>
      </w:pPr>
      <w:hyperlink r:id="rId14" w:history="1">
        <w:r w:rsidR="006D3143" w:rsidRPr="00674DBC">
          <w:rPr>
            <w:rStyle w:val="a4"/>
            <w:bCs/>
            <w:color w:val="000000" w:themeColor="text1"/>
            <w:sz w:val="28"/>
            <w:szCs w:val="28"/>
            <w:u w:val="none"/>
            <w:lang w:val="en-US"/>
          </w:rPr>
          <w:t>http</w:t>
        </w:r>
        <w:r w:rsidR="006D3143" w:rsidRPr="00674DBC">
          <w:rPr>
            <w:rStyle w:val="a4"/>
            <w:bCs/>
            <w:color w:val="000000" w:themeColor="text1"/>
            <w:sz w:val="28"/>
            <w:szCs w:val="28"/>
            <w:u w:val="none"/>
          </w:rPr>
          <w:t>://</w:t>
        </w:r>
        <w:r w:rsidR="006D3143" w:rsidRPr="00674DBC">
          <w:rPr>
            <w:rStyle w:val="a4"/>
            <w:bCs/>
            <w:color w:val="000000" w:themeColor="text1"/>
            <w:sz w:val="28"/>
            <w:szCs w:val="28"/>
            <w:u w:val="none"/>
            <w:lang w:val="en-US"/>
          </w:rPr>
          <w:t>e</w:t>
        </w:r>
        <w:r w:rsidR="006D3143" w:rsidRPr="00674DBC">
          <w:rPr>
            <w:rStyle w:val="a4"/>
            <w:bCs/>
            <w:color w:val="000000" w:themeColor="text1"/>
            <w:sz w:val="28"/>
            <w:szCs w:val="28"/>
            <w:u w:val="none"/>
          </w:rPr>
          <w:t>.</w:t>
        </w:r>
        <w:r w:rsidR="006D3143" w:rsidRPr="00674DBC">
          <w:rPr>
            <w:rStyle w:val="a4"/>
            <w:bCs/>
            <w:color w:val="000000" w:themeColor="text1"/>
            <w:sz w:val="28"/>
            <w:szCs w:val="28"/>
            <w:u w:val="none"/>
            <w:lang w:val="en-US"/>
          </w:rPr>
          <w:t>lanbook.com</w:t>
        </w:r>
      </w:hyperlink>
      <w:r w:rsidR="006D3143" w:rsidRPr="00674DBC">
        <w:rPr>
          <w:bCs/>
          <w:color w:val="000000" w:themeColor="text1"/>
          <w:sz w:val="28"/>
          <w:szCs w:val="28"/>
          <w:lang w:val="en-US"/>
        </w:rPr>
        <w:t>.</w:t>
      </w:r>
    </w:p>
    <w:p w:rsidR="006D3143" w:rsidRPr="00F15951" w:rsidRDefault="008863CC" w:rsidP="006D3143">
      <w:pPr>
        <w:pStyle w:val="a3"/>
        <w:numPr>
          <w:ilvl w:val="0"/>
          <w:numId w:val="31"/>
        </w:numPr>
        <w:jc w:val="both"/>
        <w:rPr>
          <w:bCs/>
          <w:color w:val="000000" w:themeColor="text1"/>
          <w:sz w:val="28"/>
          <w:szCs w:val="28"/>
        </w:rPr>
      </w:pPr>
      <w:hyperlink r:id="rId15" w:history="1">
        <w:r w:rsidR="006D3143" w:rsidRPr="00F15951">
          <w:rPr>
            <w:rStyle w:val="a4"/>
            <w:bCs/>
            <w:color w:val="000000" w:themeColor="text1"/>
            <w:sz w:val="28"/>
            <w:szCs w:val="28"/>
            <w:u w:val="none"/>
            <w:lang w:val="en-US"/>
          </w:rPr>
          <w:t>http</w:t>
        </w:r>
        <w:r w:rsidR="006D3143" w:rsidRPr="00F15951">
          <w:rPr>
            <w:rStyle w:val="a4"/>
            <w:bCs/>
            <w:color w:val="000000" w:themeColor="text1"/>
            <w:sz w:val="28"/>
            <w:szCs w:val="28"/>
            <w:u w:val="none"/>
          </w:rPr>
          <w:t>:</w:t>
        </w:r>
        <w:r w:rsidR="006D3143" w:rsidRPr="00F15951">
          <w:rPr>
            <w:rStyle w:val="a4"/>
            <w:bCs/>
            <w:color w:val="000000" w:themeColor="text1"/>
            <w:sz w:val="28"/>
            <w:szCs w:val="28"/>
            <w:u w:val="none"/>
            <w:lang w:val="en-US"/>
          </w:rPr>
          <w:t>//ibooks.ru</w:t>
        </w:r>
      </w:hyperlink>
      <w:r w:rsidR="006D3143" w:rsidRPr="00F15951">
        <w:rPr>
          <w:bCs/>
          <w:color w:val="000000" w:themeColor="text1"/>
          <w:sz w:val="28"/>
          <w:szCs w:val="28"/>
          <w:lang w:val="en-US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D8544E" w:rsidRDefault="00104973" w:rsidP="00D8544E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D8544E" w:rsidRPr="00104973" w:rsidRDefault="00D8544E" w:rsidP="00D8544E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8544E" w:rsidRPr="00104973" w:rsidRDefault="00D8544E" w:rsidP="00D8544E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8544E" w:rsidRDefault="00D8544E" w:rsidP="00D8544E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8544E" w:rsidRPr="00104973" w:rsidRDefault="00D8544E" w:rsidP="00D8544E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8544E" w:rsidRPr="00104973" w:rsidRDefault="00D8544E" w:rsidP="00D8544E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60783" w:rsidRPr="009D4269" w:rsidRDefault="00A60783" w:rsidP="00A60783">
      <w:pPr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9D4269">
        <w:rPr>
          <w:rFonts w:eastAsia="Calibri"/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60783" w:rsidRPr="009D4269" w:rsidRDefault="00A60783" w:rsidP="00A60783">
      <w:pPr>
        <w:numPr>
          <w:ilvl w:val="0"/>
          <w:numId w:val="18"/>
        </w:numPr>
        <w:tabs>
          <w:tab w:val="left" w:pos="1418"/>
        </w:tabs>
        <w:spacing w:line="240" w:lineRule="auto"/>
        <w:ind w:left="0" w:firstLine="851"/>
        <w:rPr>
          <w:rFonts w:eastAsia="Calibri"/>
          <w:b/>
          <w:bCs/>
          <w:sz w:val="28"/>
          <w:szCs w:val="28"/>
        </w:rPr>
      </w:pPr>
      <w:r w:rsidRPr="009D4269">
        <w:rPr>
          <w:rFonts w:eastAsia="Calibri"/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A60783" w:rsidRPr="009D4269" w:rsidRDefault="00A60783" w:rsidP="00A60783">
      <w:pPr>
        <w:numPr>
          <w:ilvl w:val="0"/>
          <w:numId w:val="18"/>
        </w:numPr>
        <w:tabs>
          <w:tab w:val="left" w:pos="1418"/>
        </w:tabs>
        <w:spacing w:line="240" w:lineRule="auto"/>
        <w:ind w:left="0" w:firstLine="851"/>
        <w:rPr>
          <w:rFonts w:eastAsia="Calibri"/>
          <w:b/>
          <w:bCs/>
          <w:sz w:val="28"/>
          <w:szCs w:val="28"/>
        </w:rPr>
      </w:pPr>
      <w:r w:rsidRPr="009D4269">
        <w:rPr>
          <w:rFonts w:eastAsia="Calibri"/>
          <w:bCs/>
          <w:sz w:val="28"/>
          <w:szCs w:val="28"/>
        </w:rPr>
        <w:t>методы обучения с использованием информационных технологи</w:t>
      </w:r>
      <w:proofErr w:type="gramStart"/>
      <w:r w:rsidRPr="009D4269">
        <w:rPr>
          <w:rFonts w:eastAsia="Calibri"/>
          <w:bCs/>
          <w:sz w:val="28"/>
          <w:szCs w:val="28"/>
        </w:rPr>
        <w:t>й(</w:t>
      </w:r>
      <w:proofErr w:type="gramEnd"/>
      <w:r w:rsidRPr="009D4269">
        <w:rPr>
          <w:rFonts w:eastAsia="Calibri"/>
          <w:bCs/>
          <w:sz w:val="28"/>
          <w:szCs w:val="28"/>
        </w:rPr>
        <w:t xml:space="preserve">компьютерное тестирование, демонстрация </w:t>
      </w:r>
      <w:proofErr w:type="spellStart"/>
      <w:r w:rsidRPr="009D4269">
        <w:rPr>
          <w:rFonts w:eastAsia="Calibri"/>
          <w:bCs/>
          <w:sz w:val="28"/>
          <w:szCs w:val="28"/>
        </w:rPr>
        <w:t>мультимедийныхматериалов</w:t>
      </w:r>
      <w:proofErr w:type="spellEnd"/>
      <w:r w:rsidRPr="009D4269">
        <w:rPr>
          <w:rFonts w:eastAsia="Calibri"/>
          <w:bCs/>
          <w:sz w:val="28"/>
          <w:szCs w:val="28"/>
        </w:rPr>
        <w:t>).</w:t>
      </w:r>
    </w:p>
    <w:p w:rsidR="00A60783" w:rsidRPr="009D4269" w:rsidRDefault="00A60783" w:rsidP="00A60783">
      <w:pPr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9D4269">
        <w:rPr>
          <w:rFonts w:eastAsia="Calibri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D8544E" w:rsidRPr="005B2FEA" w:rsidRDefault="00D8544E" w:rsidP="00D8544E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D8544E" w:rsidRPr="005B2FEA" w:rsidRDefault="00D8544E" w:rsidP="00D8544E">
      <w:pPr>
        <w:widowControl w:val="0"/>
        <w:tabs>
          <w:tab w:val="left" w:pos="1418"/>
        </w:tabs>
        <w:spacing w:after="0" w:line="240" w:lineRule="auto"/>
        <w:ind w:left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5B2FEA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8544E" w:rsidRPr="005B2FEA" w:rsidRDefault="00D8544E" w:rsidP="00D8544E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8544E" w:rsidRPr="005B2FEA" w:rsidRDefault="00D8544E" w:rsidP="00D8544E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B2FEA">
        <w:rPr>
          <w:rFonts w:eastAsia="Times New Roman" w:cs="Times New Roman"/>
          <w:bCs/>
          <w:sz w:val="28"/>
          <w:szCs w:val="28"/>
          <w:lang w:eastAsia="ru-RU"/>
        </w:rPr>
        <w:t xml:space="preserve">Материально-техническая база обеспечивает проведение </w:t>
      </w:r>
      <w:proofErr w:type="gramStart"/>
      <w:r w:rsidRPr="005B2FEA">
        <w:rPr>
          <w:rFonts w:eastAsia="Times New Roman" w:cs="Times New Roman"/>
          <w:bCs/>
          <w:sz w:val="28"/>
          <w:szCs w:val="28"/>
          <w:lang w:eastAsia="ru-RU"/>
        </w:rPr>
        <w:t>всех видов учебных занятий, предусмотренных учебным планом по данной специальности и соответствует</w:t>
      </w:r>
      <w:proofErr w:type="gramEnd"/>
      <w:r w:rsidRPr="005B2FEA">
        <w:rPr>
          <w:rFonts w:eastAsia="Times New Roman" w:cs="Times New Roman"/>
          <w:bCs/>
          <w:sz w:val="28"/>
          <w:szCs w:val="28"/>
          <w:lang w:eastAsia="ru-RU"/>
        </w:rPr>
        <w:t xml:space="preserve"> действующим санитарным и противопожарным нормам и правилам.</w:t>
      </w:r>
    </w:p>
    <w:p w:rsidR="00D8544E" w:rsidRPr="005B2FEA" w:rsidRDefault="00D8544E" w:rsidP="00D8544E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B2FEA">
        <w:rPr>
          <w:rFonts w:eastAsia="Times New Roman" w:cs="Times New Roman"/>
          <w:bCs/>
          <w:sz w:val="28"/>
          <w:szCs w:val="28"/>
          <w:lang w:eastAsia="ru-RU"/>
        </w:rPr>
        <w:t>Она содержит специальные помещения -  учебные аудитории  для проведения занятий лекционного типа, занятий семинарского типа, курсового проектирования (выполнения курсовых работ – когда есть курсовая работа), групповых и индивидуальных консультаций, текущего контроля и промежуточной аттестации, а также помещения для самостоятельной работы. Помещения на семестр учебного года выделяются в соответствии с расписанием занятий.</w:t>
      </w:r>
    </w:p>
    <w:p w:rsidR="00D8544E" w:rsidRPr="005B2FEA" w:rsidRDefault="00D8544E" w:rsidP="00D8544E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B2FEA">
        <w:rPr>
          <w:rFonts w:eastAsia="Times New Roman" w:cs="Times New Roman"/>
          <w:bCs/>
          <w:sz w:val="28"/>
          <w:szCs w:val="28"/>
          <w:lang w:eastAsia="ru-RU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8544E" w:rsidRPr="005B2FEA" w:rsidRDefault="00D8544E" w:rsidP="00D8544E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B2FEA">
        <w:rPr>
          <w:rFonts w:eastAsia="Times New Roman" w:cs="Times New Roman"/>
          <w:bCs/>
          <w:sz w:val="28"/>
          <w:szCs w:val="28"/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D8544E" w:rsidRDefault="00D8544E" w:rsidP="00D8544E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B2FEA">
        <w:rPr>
          <w:rFonts w:eastAsia="Times New Roman" w:cs="Times New Roman"/>
          <w:bCs/>
          <w:sz w:val="28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8544E" w:rsidRDefault="00D8544E" w:rsidP="00D8544E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74D0F" w:rsidRDefault="00474D0F" w:rsidP="00D8544E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74D0F" w:rsidRDefault="00474D0F" w:rsidP="00474D0F">
      <w:pPr>
        <w:tabs>
          <w:tab w:val="left" w:pos="0"/>
        </w:tabs>
        <w:spacing w:after="120" w:line="240" w:lineRule="auto"/>
        <w:contextualSpacing/>
        <w:rPr>
          <w:rFonts w:eastAsia="Calibri" w:cs="Times New Roman"/>
          <w:bCs/>
          <w:iCs/>
          <w:sz w:val="28"/>
        </w:rPr>
      </w:pPr>
      <w:r>
        <w:rPr>
          <w:rFonts w:eastAsia="Calibri" w:cs="Times New Roman"/>
          <w:bCs/>
          <w:iCs/>
          <w:sz w:val="28"/>
        </w:rPr>
        <w:t>Разработчик программы, ст.</w:t>
      </w:r>
    </w:p>
    <w:p w:rsidR="00474D0F" w:rsidRDefault="00474D0F" w:rsidP="00474D0F">
      <w:pPr>
        <w:tabs>
          <w:tab w:val="left" w:pos="0"/>
        </w:tabs>
        <w:spacing w:after="120" w:line="240" w:lineRule="auto"/>
        <w:contextualSpacing/>
        <w:rPr>
          <w:rFonts w:eastAsia="Calibri" w:cs="Times New Roman"/>
          <w:bCs/>
          <w:iCs/>
          <w:sz w:val="28"/>
        </w:rPr>
      </w:pPr>
      <w:r>
        <w:rPr>
          <w:rFonts w:eastAsia="Calibri" w:cs="Times New Roman"/>
          <w:bCs/>
          <w:iCs/>
          <w:sz w:val="28"/>
        </w:rPr>
        <w:t>преподаватель                                                                            В.В.Сальникова</w:t>
      </w:r>
    </w:p>
    <w:p w:rsidR="00474D0F" w:rsidRDefault="00474D0F" w:rsidP="00474D0F">
      <w:pPr>
        <w:tabs>
          <w:tab w:val="left" w:pos="0"/>
        </w:tabs>
        <w:spacing w:after="120" w:line="240" w:lineRule="auto"/>
        <w:contextualSpacing/>
        <w:rPr>
          <w:rFonts w:eastAsia="Calibri" w:cs="Times New Roman"/>
          <w:bCs/>
          <w:iCs/>
          <w:sz w:val="28"/>
        </w:rPr>
      </w:pPr>
      <w:r>
        <w:rPr>
          <w:rFonts w:eastAsia="Calibri" w:cs="Times New Roman"/>
          <w:bCs/>
          <w:iCs/>
          <w:sz w:val="28"/>
        </w:rPr>
        <w:t xml:space="preserve">«___»  ______________ </w:t>
      </w:r>
      <w:proofErr w:type="gramStart"/>
      <w:r>
        <w:rPr>
          <w:rFonts w:eastAsia="Calibri" w:cs="Times New Roman"/>
          <w:bCs/>
          <w:iCs/>
          <w:sz w:val="28"/>
        </w:rPr>
        <w:t>г</w:t>
      </w:r>
      <w:proofErr w:type="gramEnd"/>
      <w:r>
        <w:rPr>
          <w:rFonts w:eastAsia="Calibri" w:cs="Times New Roman"/>
          <w:bCs/>
          <w:iCs/>
          <w:sz w:val="28"/>
        </w:rPr>
        <w:t>.</w:t>
      </w:r>
    </w:p>
    <w:tbl>
      <w:tblPr>
        <w:tblW w:w="10025" w:type="dxa"/>
        <w:tblLook w:val="00A0" w:firstRow="1" w:lastRow="0" w:firstColumn="1" w:lastColumn="0" w:noHBand="0" w:noVBand="0"/>
      </w:tblPr>
      <w:tblGrid>
        <w:gridCol w:w="4052"/>
        <w:gridCol w:w="3742"/>
        <w:gridCol w:w="2231"/>
      </w:tblGrid>
      <w:tr w:rsidR="00474D0F" w:rsidTr="00474D0F">
        <w:trPr>
          <w:trHeight w:val="7884"/>
        </w:trPr>
        <w:tc>
          <w:tcPr>
            <w:tcW w:w="4052" w:type="dxa"/>
            <w:hideMark/>
          </w:tcPr>
          <w:tbl>
            <w:tblPr>
              <w:tblW w:w="2231" w:type="dxa"/>
              <w:tblLook w:val="00A0" w:firstRow="1" w:lastRow="0" w:firstColumn="1" w:lastColumn="0" w:noHBand="0" w:noVBand="0"/>
            </w:tblPr>
            <w:tblGrid>
              <w:gridCol w:w="2231"/>
            </w:tblGrid>
            <w:tr w:rsidR="00474D0F">
              <w:tc>
                <w:tcPr>
                  <w:tcW w:w="2231" w:type="dxa"/>
                </w:tcPr>
                <w:p w:rsidR="00474D0F" w:rsidRDefault="00474D0F">
                  <w:pPr>
                    <w:rPr>
                      <w:rFonts w:eastAsia="Calibri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</w:tr>
          </w:tbl>
          <w:p w:rsidR="00474D0F" w:rsidRDefault="009128EF">
            <w:pPr>
              <w:rPr>
                <w:rFonts w:asciiTheme="minorHAnsi" w:eastAsiaTheme="minorEastAsia" w:hAnsiTheme="minorHAnsi" w:cs="Times New Roman"/>
                <w:sz w:val="22"/>
                <w:lang w:eastAsia="ru-RU"/>
              </w:rPr>
            </w:pPr>
            <w:r>
              <w:rPr>
                <w:rFonts w:asciiTheme="minorHAnsi" w:eastAsiaTheme="minorEastAsia" w:hAnsiTheme="minorHAnsi" w:cs="Times New Roman"/>
                <w:noProof/>
                <w:sz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-3667760</wp:posOffset>
                  </wp:positionV>
                  <wp:extent cx="5940425" cy="84023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032.B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40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vAlign w:val="bottom"/>
          </w:tcPr>
          <w:p w:rsidR="00474D0F" w:rsidRDefault="00474D0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vAlign w:val="bottom"/>
          </w:tcPr>
          <w:p w:rsidR="00474D0F" w:rsidRDefault="00474D0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474D0F" w:rsidRPr="00D8544E" w:rsidRDefault="00474D0F" w:rsidP="00D8544E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D8544E" w:rsidRDefault="00D8544E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8544E" w:rsidRDefault="00D8544E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8544E" w:rsidRDefault="00D8544E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sectPr w:rsidR="00D8544E" w:rsidSect="0095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BEA0AC9"/>
    <w:multiLevelType w:val="hybridMultilevel"/>
    <w:tmpl w:val="86248C84"/>
    <w:lvl w:ilvl="0" w:tplc="EA5691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36712"/>
    <w:multiLevelType w:val="hybridMultilevel"/>
    <w:tmpl w:val="C230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7"/>
  </w:num>
  <w:num w:numId="8">
    <w:abstractNumId w:val="23"/>
  </w:num>
  <w:num w:numId="9">
    <w:abstractNumId w:val="0"/>
  </w:num>
  <w:num w:numId="10">
    <w:abstractNumId w:val="16"/>
  </w:num>
  <w:num w:numId="11">
    <w:abstractNumId w:val="22"/>
  </w:num>
  <w:num w:numId="12">
    <w:abstractNumId w:val="30"/>
  </w:num>
  <w:num w:numId="13">
    <w:abstractNumId w:val="2"/>
  </w:num>
  <w:num w:numId="14">
    <w:abstractNumId w:val="11"/>
  </w:num>
  <w:num w:numId="15">
    <w:abstractNumId w:val="25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8"/>
  </w:num>
  <w:num w:numId="22">
    <w:abstractNumId w:val="12"/>
  </w:num>
  <w:num w:numId="23">
    <w:abstractNumId w:val="10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8"/>
  </w:num>
  <w:num w:numId="29">
    <w:abstractNumId w:val="29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46B20"/>
    <w:rsid w:val="00055AEC"/>
    <w:rsid w:val="000E1457"/>
    <w:rsid w:val="00104973"/>
    <w:rsid w:val="00106DF9"/>
    <w:rsid w:val="00127EAB"/>
    <w:rsid w:val="001327B4"/>
    <w:rsid w:val="00136012"/>
    <w:rsid w:val="00145133"/>
    <w:rsid w:val="001679F7"/>
    <w:rsid w:val="001751BF"/>
    <w:rsid w:val="001A7CF3"/>
    <w:rsid w:val="001B1AA2"/>
    <w:rsid w:val="002318E0"/>
    <w:rsid w:val="002675BB"/>
    <w:rsid w:val="002F3778"/>
    <w:rsid w:val="003069A7"/>
    <w:rsid w:val="003516BD"/>
    <w:rsid w:val="00370486"/>
    <w:rsid w:val="003F6BE0"/>
    <w:rsid w:val="0041209C"/>
    <w:rsid w:val="004422F6"/>
    <w:rsid w:val="00461115"/>
    <w:rsid w:val="004717FA"/>
    <w:rsid w:val="00474D0F"/>
    <w:rsid w:val="004852C7"/>
    <w:rsid w:val="004A1FA8"/>
    <w:rsid w:val="004E7775"/>
    <w:rsid w:val="004F410E"/>
    <w:rsid w:val="00500803"/>
    <w:rsid w:val="005607E2"/>
    <w:rsid w:val="005614A6"/>
    <w:rsid w:val="00566189"/>
    <w:rsid w:val="00581925"/>
    <w:rsid w:val="00635D8A"/>
    <w:rsid w:val="00647256"/>
    <w:rsid w:val="00665410"/>
    <w:rsid w:val="00666A0D"/>
    <w:rsid w:val="00672339"/>
    <w:rsid w:val="00684261"/>
    <w:rsid w:val="006923AA"/>
    <w:rsid w:val="006B1083"/>
    <w:rsid w:val="006C09D1"/>
    <w:rsid w:val="006C6777"/>
    <w:rsid w:val="006D3143"/>
    <w:rsid w:val="00744617"/>
    <w:rsid w:val="007A763D"/>
    <w:rsid w:val="007B19F4"/>
    <w:rsid w:val="007D2B6B"/>
    <w:rsid w:val="007F1E07"/>
    <w:rsid w:val="0080261C"/>
    <w:rsid w:val="00875BB6"/>
    <w:rsid w:val="008863CC"/>
    <w:rsid w:val="00890CAB"/>
    <w:rsid w:val="008D5E11"/>
    <w:rsid w:val="009128EF"/>
    <w:rsid w:val="0093676D"/>
    <w:rsid w:val="00937283"/>
    <w:rsid w:val="0094388A"/>
    <w:rsid w:val="00952B01"/>
    <w:rsid w:val="009E4AC7"/>
    <w:rsid w:val="00A1156E"/>
    <w:rsid w:val="00A15DBA"/>
    <w:rsid w:val="00A60783"/>
    <w:rsid w:val="00A81455"/>
    <w:rsid w:val="00B17D23"/>
    <w:rsid w:val="00BA372E"/>
    <w:rsid w:val="00BF48B5"/>
    <w:rsid w:val="00C32030"/>
    <w:rsid w:val="00C530DE"/>
    <w:rsid w:val="00CA314D"/>
    <w:rsid w:val="00CA6C40"/>
    <w:rsid w:val="00D83707"/>
    <w:rsid w:val="00D8544E"/>
    <w:rsid w:val="00D96C21"/>
    <w:rsid w:val="00D96E0F"/>
    <w:rsid w:val="00DC3DF6"/>
    <w:rsid w:val="00E07DF8"/>
    <w:rsid w:val="00E420CC"/>
    <w:rsid w:val="00E446B0"/>
    <w:rsid w:val="00E540B0"/>
    <w:rsid w:val="00E55E7C"/>
    <w:rsid w:val="00EA3AD8"/>
    <w:rsid w:val="00F15951"/>
    <w:rsid w:val="00F84D7F"/>
    <w:rsid w:val="00FC2D1B"/>
    <w:rsid w:val="00FD6AC1"/>
    <w:rsid w:val="00FE1F14"/>
    <w:rsid w:val="00FE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90C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647256"/>
    <w:pPr>
      <w:spacing w:after="0" w:line="240" w:lineRule="auto"/>
      <w:ind w:left="720"/>
    </w:pPr>
    <w:rPr>
      <w:rFonts w:eastAsia="Calibri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4422F6"/>
    <w:pPr>
      <w:suppressAutoHyphens/>
      <w:spacing w:after="120" w:line="240" w:lineRule="auto"/>
    </w:pPr>
    <w:rPr>
      <w:rFonts w:eastAsia="SimSun" w:cs="Mangal"/>
      <w:kern w:val="1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4422F6"/>
    <w:rPr>
      <w:rFonts w:eastAsia="SimSun" w:cs="Mangal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.lanbook.com/book/91126.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.lanbook.com/book/9113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37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books.ru" TargetMode="External"/><Relationship Id="rId10" Type="http://schemas.openxmlformats.org/officeDocument/2006/relationships/hyperlink" Target="http://e.lanbook.com/book/37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3735" TargetMode="External"/><Relationship Id="rId14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8FDF-800F-431D-A269-FA1ED340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НГИКГ</cp:lastModifiedBy>
  <cp:revision>8</cp:revision>
  <cp:lastPrinted>2017-09-26T12:56:00Z</cp:lastPrinted>
  <dcterms:created xsi:type="dcterms:W3CDTF">2017-09-14T14:33:00Z</dcterms:created>
  <dcterms:modified xsi:type="dcterms:W3CDTF">2017-10-27T12:19:00Z</dcterms:modified>
</cp:coreProperties>
</file>