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7B61D4" w:rsidRPr="007B61D4">
        <w:rPr>
          <w:rFonts w:ascii="Times New Roman" w:eastAsia="Calibri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F1647" w:rsidRPr="00AC0EA8" w:rsidRDefault="002F1647" w:rsidP="002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2F1647" w:rsidRPr="00AC0EA8" w:rsidRDefault="002F1647" w:rsidP="002F1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2F1647" w:rsidRPr="00AC0EA8" w:rsidRDefault="002F1647" w:rsidP="002F1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647" w:rsidRPr="00AC0EA8" w:rsidRDefault="002F1647" w:rsidP="002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2F1647" w:rsidRPr="00AC0EA8" w:rsidRDefault="002F1647" w:rsidP="002F16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2F1647" w:rsidRPr="00AC0EA8" w:rsidTr="00E351BA">
        <w:tc>
          <w:tcPr>
            <w:tcW w:w="5070" w:type="dxa"/>
            <w:shd w:val="clear" w:color="auto" w:fill="auto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AF5E750" wp14:editId="46B7E7A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-242570</wp:posOffset>
                  </wp:positionV>
                  <wp:extent cx="1009650" cy="466725"/>
                  <wp:effectExtent l="0" t="0" r="0" b="9525"/>
                  <wp:wrapNone/>
                  <wp:docPr id="6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F1647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F1647" w:rsidRPr="0021136F" w:rsidRDefault="002F1647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3B" w:rsidRPr="00AC0EA8" w:rsidRDefault="0055453B" w:rsidP="0055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3B" w:rsidRPr="00AC0EA8" w:rsidRDefault="0055453B" w:rsidP="0055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30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53B" w:rsidRPr="00AC0EA8" w:rsidRDefault="0055453B" w:rsidP="0055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55453B" w:rsidRPr="00AC0EA8" w:rsidTr="00E351BA">
        <w:tc>
          <w:tcPr>
            <w:tcW w:w="5070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F34AA21" wp14:editId="426F649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-181610</wp:posOffset>
                  </wp:positionV>
                  <wp:extent cx="1009650" cy="466725"/>
                  <wp:effectExtent l="0" t="0" r="0" b="9525"/>
                  <wp:wrapNone/>
                  <wp:docPr id="1" name="Рисунок 1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55453B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3B" w:rsidRDefault="0055453B" w:rsidP="0055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3B" w:rsidRPr="00AC0EA8" w:rsidRDefault="0055453B" w:rsidP="0055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55453B" w:rsidRPr="00AC0EA8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53B" w:rsidRPr="00AC0EA8" w:rsidRDefault="0055453B" w:rsidP="0055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5453B" w:rsidRDefault="0055453B" w:rsidP="005545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55453B" w:rsidRPr="00AC0EA8" w:rsidTr="00E351BA">
        <w:tc>
          <w:tcPr>
            <w:tcW w:w="5070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55453B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5453B" w:rsidRPr="0021136F" w:rsidRDefault="0055453B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3969A0" w:rsidP="0039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7700" cy="9474734"/>
            <wp:effectExtent l="0" t="0" r="6350" b="0"/>
            <wp:docPr id="2" name="Рисунок 2" descr="C:\Users\user\Desktop\Технология ремонта теплотехника 2016 -\img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хнология ремонта теплотехника 2016 -\img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5000" r="5242"/>
                    <a:stretch/>
                  </pic:blipFill>
                  <pic:spPr bwMode="auto">
                    <a:xfrm>
                      <a:off x="0" y="0"/>
                      <a:ext cx="5724871" cy="94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B37E71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proofErr w:type="gramEnd"/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Для достижения поставленных целей решаются следующие задачи: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Овладение методикой расчета теплообменных аппаратов и устройств;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 xml:space="preserve">Изучить основные принципы работы и устройство </w:t>
      </w:r>
      <w:proofErr w:type="gramStart"/>
      <w:r w:rsidRPr="00526F6D">
        <w:rPr>
          <w:rFonts w:eastAsiaTheme="minorEastAsia" w:cs="Times New Roman"/>
          <w:szCs w:val="28"/>
        </w:rPr>
        <w:t>компрессоров ,</w:t>
      </w:r>
      <w:proofErr w:type="gramEnd"/>
      <w:r w:rsidRPr="00526F6D">
        <w:rPr>
          <w:rFonts w:eastAsiaTheme="minorEastAsia" w:cs="Times New Roman"/>
          <w:szCs w:val="28"/>
        </w:rPr>
        <w:t xml:space="preserve"> двигателей внутреннего сгорания и других теплоэнергетических установок;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D66A05" w:rsidRPr="00D66A05" w:rsidRDefault="00526F6D" w:rsidP="00526F6D">
      <w:pPr>
        <w:pStyle w:val="13"/>
        <w:numPr>
          <w:ilvl w:val="0"/>
          <w:numId w:val="43"/>
        </w:numPr>
        <w:contextualSpacing w:val="0"/>
        <w:jc w:val="both"/>
        <w:rPr>
          <w:rFonts w:cs="Times New Roman"/>
          <w:szCs w:val="28"/>
        </w:rPr>
      </w:pPr>
      <w:r w:rsidRPr="00526F6D">
        <w:rPr>
          <w:rFonts w:eastAsiaTheme="minorEastAsia" w:cs="Times New Roman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37E71" w:rsidRPr="00A6453F" w:rsidRDefault="00B37E71" w:rsidP="00B37E7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дисциплине являются:</w:t>
      </w:r>
    </w:p>
    <w:p w:rsidR="00B37E71" w:rsidRPr="00A6453F" w:rsidRDefault="00B37E71" w:rsidP="00B37E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выполнять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методами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Default="000710CD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0A2F" w:rsidRDefault="00C90A2F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E71" w:rsidRDefault="00B37E71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E71" w:rsidRDefault="00B37E71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E71" w:rsidRDefault="00B37E71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E71" w:rsidRDefault="00B37E71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</w:t>
            </w:r>
            <w:proofErr w:type="gramStart"/>
            <w:r w:rsidRPr="00526F6D">
              <w:rPr>
                <w:sz w:val="28"/>
                <w:szCs w:val="28"/>
              </w:rPr>
              <w:t>Р-Т</w:t>
            </w:r>
            <w:proofErr w:type="gramEnd"/>
            <w:r w:rsidRPr="00526F6D">
              <w:rPr>
                <w:sz w:val="28"/>
                <w:szCs w:val="28"/>
              </w:rPr>
              <w:t xml:space="preserve">, Р-υ,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526F6D" w:rsidRPr="00526F6D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Никольская О.К., Никольский Д.В., Кудрин М.Ю., Краснов А.С. Техническая термодинамика. Методические указания к выполнению лабораторных работ 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/  СПб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.: ПГУПС. 2011.- 42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СПб.: 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 xml:space="preserve">., Никольский Д.В., Кудрин М.Ю., Краснов А.С. Техническая термодинамика. Методические указания к выполнению лабораторных работ </w:t>
      </w:r>
      <w:proofErr w:type="gram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/  СПб</w:t>
      </w:r>
      <w:proofErr w:type="gram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.: 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53B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1.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2.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НЕБ. [Электронный ресурс]. – Режим доступа: http://elibrary.ru –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свободный  –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Электронный  ресурс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]. Режим доступа: http://www.cntd.ru/, свободный –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55453B" w:rsidRDefault="0055453B" w:rsidP="005545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5453B" w:rsidRPr="0021136F" w:rsidRDefault="0055453B" w:rsidP="005545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5453B" w:rsidRPr="009E72D2" w:rsidRDefault="0055453B" w:rsidP="0055453B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453B" w:rsidRPr="009E72D2" w:rsidRDefault="0055453B" w:rsidP="0055453B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5453B" w:rsidRDefault="0055453B" w:rsidP="0055453B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453B" w:rsidRDefault="0055453B" w:rsidP="0055453B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53B" w:rsidRPr="009E72D2" w:rsidRDefault="0055453B" w:rsidP="005545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«ТЕРМОДИНАМИКА И ТЕПЛОПЕРЕДАЧА» используются следующие информационные технологии:</w:t>
      </w:r>
    </w:p>
    <w:p w:rsidR="0055453B" w:rsidRPr="009E72D2" w:rsidRDefault="0055453B" w:rsidP="0055453B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55453B" w:rsidRPr="009E72D2" w:rsidRDefault="0055453B" w:rsidP="0055453B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5453B" w:rsidRPr="009E72D2" w:rsidRDefault="0055453B" w:rsidP="0055453B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55453B" w:rsidRDefault="0055453B" w:rsidP="005545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53B" w:rsidRPr="009E72D2" w:rsidRDefault="0055453B" w:rsidP="005545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23.05.03 «Подвижной состав железных дорог» и соответствует.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учебно</w:t>
      </w:r>
      <w:proofErr w:type="spellEnd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–лабораторной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</w:t>
      </w:r>
    </w:p>
    <w:p w:rsidR="0055453B" w:rsidRPr="009E72D2" w:rsidRDefault="0055453B" w:rsidP="00554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5453B" w:rsidRPr="009E72D2" w:rsidRDefault="0055453B" w:rsidP="0055453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Разработчик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55453B" w:rsidRPr="009E72D2" w:rsidTr="00E351BA">
        <w:tc>
          <w:tcPr>
            <w:tcW w:w="2296" w:type="pct"/>
            <w:hideMark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EFE7298" wp14:editId="227EE67F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96520</wp:posOffset>
                  </wp:positionV>
                  <wp:extent cx="1857375" cy="933450"/>
                  <wp:effectExtent l="0" t="0" r="9525" b="0"/>
                  <wp:wrapNone/>
                  <wp:docPr id="4" name="Рисунок 1" descr="img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6" t="44482" r="26201" b="4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 преподавателя</w:t>
            </w:r>
          </w:p>
        </w:tc>
        <w:tc>
          <w:tcPr>
            <w:tcW w:w="1343" w:type="pct"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53B" w:rsidRPr="009E72D2" w:rsidTr="00E351BA">
        <w:tc>
          <w:tcPr>
            <w:tcW w:w="2296" w:type="pct"/>
            <w:hideMark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  <w:hideMark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  <w:hideMark/>
          </w:tcPr>
          <w:p w:rsidR="0055453B" w:rsidRPr="009E72D2" w:rsidRDefault="0055453B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</w:tbl>
    <w:p w:rsidR="0055453B" w:rsidRPr="009E72D2" w:rsidRDefault="0055453B" w:rsidP="0055453B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53B" w:rsidRPr="00AC0EA8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53B" w:rsidRPr="00AC0EA8" w:rsidRDefault="0055453B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5453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2"/>
  </w:num>
  <w:num w:numId="13">
    <w:abstractNumId w:val="42"/>
  </w:num>
  <w:num w:numId="14">
    <w:abstractNumId w:val="18"/>
  </w:num>
  <w:num w:numId="15">
    <w:abstractNumId w:val="23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10"/>
  </w:num>
  <w:num w:numId="22">
    <w:abstractNumId w:val="40"/>
  </w:num>
  <w:num w:numId="23">
    <w:abstractNumId w:val="16"/>
  </w:num>
  <w:num w:numId="24">
    <w:abstractNumId w:val="1"/>
  </w:num>
  <w:num w:numId="25">
    <w:abstractNumId w:val="12"/>
  </w:num>
  <w:num w:numId="26">
    <w:abstractNumId w:val="43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8"/>
  </w:num>
  <w:num w:numId="36">
    <w:abstractNumId w:val="26"/>
  </w:num>
  <w:num w:numId="37">
    <w:abstractNumId w:val="3"/>
  </w:num>
  <w:num w:numId="38">
    <w:abstractNumId w:val="41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0"/>
  </w:num>
  <w:num w:numId="44">
    <w:abstractNumId w:val="3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F1647"/>
    <w:rsid w:val="00343606"/>
    <w:rsid w:val="00357A70"/>
    <w:rsid w:val="00361E0B"/>
    <w:rsid w:val="003912A3"/>
    <w:rsid w:val="0039465B"/>
    <w:rsid w:val="003969A0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26F6D"/>
    <w:rsid w:val="00543E9D"/>
    <w:rsid w:val="0055453B"/>
    <w:rsid w:val="00555EE2"/>
    <w:rsid w:val="0057553E"/>
    <w:rsid w:val="005839B6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B61D4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37E71"/>
    <w:rsid w:val="00B762BB"/>
    <w:rsid w:val="00B83A04"/>
    <w:rsid w:val="00BB787D"/>
    <w:rsid w:val="00BF3234"/>
    <w:rsid w:val="00C21039"/>
    <w:rsid w:val="00C2459A"/>
    <w:rsid w:val="00C31A13"/>
    <w:rsid w:val="00C41FC6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9984-1D34-4C96-847E-0A840AB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3</cp:revision>
  <cp:lastPrinted>2017-02-15T13:31:00Z</cp:lastPrinted>
  <dcterms:created xsi:type="dcterms:W3CDTF">2017-12-06T10:42:00Z</dcterms:created>
  <dcterms:modified xsi:type="dcterms:W3CDTF">2017-12-06T10:55:00Z</dcterms:modified>
</cp:coreProperties>
</file>