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367938">
        <w:rPr>
          <w:rFonts w:eastAsia="Times New Roman" w:cs="Times New Roman"/>
          <w:caps/>
          <w:sz w:val="28"/>
          <w:szCs w:val="28"/>
          <w:lang w:eastAsia="ru-RU"/>
        </w:rPr>
        <w:t>проектирование предприятий локомотивного хозяйства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8175C3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8175C3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8175C3">
        <w:rPr>
          <w:rFonts w:eastAsia="Times New Roman" w:cs="Times New Roman"/>
          <w:sz w:val="28"/>
          <w:szCs w:val="28"/>
          <w:lang w:eastAsia="ru-RU"/>
        </w:rPr>
        <w:t>.</w:t>
      </w:r>
      <w:r w:rsidR="00666418">
        <w:rPr>
          <w:rFonts w:eastAsia="Times New Roman" w:cs="Times New Roman"/>
          <w:sz w:val="28"/>
          <w:szCs w:val="28"/>
          <w:lang w:eastAsia="ru-RU"/>
        </w:rPr>
        <w:t>В</w:t>
      </w:r>
      <w:r w:rsidR="008175C3">
        <w:rPr>
          <w:rFonts w:eastAsia="Times New Roman" w:cs="Times New Roman"/>
          <w:sz w:val="28"/>
          <w:szCs w:val="28"/>
          <w:lang w:eastAsia="ru-RU"/>
        </w:rPr>
        <w:t>.</w:t>
      </w:r>
      <w:r w:rsidR="00666418">
        <w:rPr>
          <w:rFonts w:eastAsia="Times New Roman" w:cs="Times New Roman"/>
          <w:sz w:val="28"/>
          <w:szCs w:val="28"/>
          <w:lang w:eastAsia="ru-RU"/>
        </w:rPr>
        <w:t>ДВ.</w:t>
      </w:r>
      <w:r w:rsidR="00367938">
        <w:rPr>
          <w:rFonts w:eastAsia="Times New Roman" w:cs="Times New Roman"/>
          <w:sz w:val="28"/>
          <w:szCs w:val="28"/>
          <w:lang w:eastAsia="ru-RU"/>
        </w:rPr>
        <w:t>5</w:t>
      </w:r>
      <w:r w:rsidR="00666418">
        <w:rPr>
          <w:rFonts w:eastAsia="Times New Roman" w:cs="Times New Roman"/>
          <w:sz w:val="28"/>
          <w:szCs w:val="28"/>
          <w:lang w:eastAsia="ru-RU"/>
        </w:rPr>
        <w:t>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D1CDE">
        <w:rPr>
          <w:rFonts w:eastAsia="Times New Roman" w:cs="Times New Roman"/>
          <w:sz w:val="28"/>
          <w:szCs w:val="28"/>
          <w:lang w:eastAsia="ru-RU"/>
        </w:rPr>
        <w:t>Технология производства и ремонта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DD1CD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2E322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B4E4F" w:rsidP="00AC309A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B4E4F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2775"/>
            <wp:effectExtent l="1905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AC309A" w:rsidRPr="00AC309A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0769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367938">
        <w:rPr>
          <w:rFonts w:eastAsia="Times New Roman" w:cs="Times New Roman"/>
          <w:sz w:val="28"/>
          <w:szCs w:val="28"/>
          <w:lang w:eastAsia="ru-RU"/>
        </w:rPr>
        <w:t>Проектирование предприятий локомотивного хозяйства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786C9E" w:rsidRPr="00786C9E" w:rsidRDefault="00786C9E" w:rsidP="00786C9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9E">
        <w:rPr>
          <w:rFonts w:ascii="Times New Roman" w:hAnsi="Times New Roman" w:cs="Times New Roman"/>
          <w:sz w:val="28"/>
          <w:szCs w:val="28"/>
        </w:rPr>
        <w:t>Целью изучения дисциплины «Проектирование предприятий локомотивного хозяйства» является:  приобретение знаний необходимых в их практической деятельности, связанной с новым строительством, реконструкцией или техническим перевооружением локомотиворемонтных предприятий и эксплуатационных локомотивных депо. Система проектирования объектов железнодорожного транспорта имеет свои традиции, терминологическую базу и отличается от таковых в области промышленного и гражданского строительства. Организация и технология проектирования определяют правила и технологию учета системных требований транспорта к его объектам. Для достижения поставленной цели решаются следующие задачи:</w:t>
      </w:r>
    </w:p>
    <w:p w:rsidR="00786C9E" w:rsidRPr="00786C9E" w:rsidRDefault="00786C9E" w:rsidP="00786C9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86C9E">
        <w:rPr>
          <w:rFonts w:cs="Times New Roman"/>
          <w:sz w:val="28"/>
          <w:szCs w:val="28"/>
        </w:rPr>
        <w:t>- ознакомление студентов с назначением, особенностями размещения и необходимой технической оснащенностью локомотиворемонтных предприятий и эксплуатационных депо;</w:t>
      </w:r>
    </w:p>
    <w:p w:rsidR="00786C9E" w:rsidRPr="00786C9E" w:rsidRDefault="00786C9E" w:rsidP="00786C9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86C9E">
        <w:rPr>
          <w:rFonts w:cs="Times New Roman"/>
          <w:sz w:val="28"/>
          <w:szCs w:val="28"/>
        </w:rPr>
        <w:t>- изучение студентами основных типов локомотиворемонтных предприятий и эксплуатационных локомотивных депо.</w:t>
      </w:r>
    </w:p>
    <w:p w:rsidR="00516680" w:rsidRPr="00AB260C" w:rsidRDefault="00516680" w:rsidP="00786C9E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16680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6680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516680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516680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516680" w:rsidRDefault="00104973" w:rsidP="00786C9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6680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516680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516680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786C9E" w:rsidRPr="00A7432E" w:rsidRDefault="00786C9E" w:rsidP="00786C9E">
      <w:pPr>
        <w:spacing w:after="0" w:line="240" w:lineRule="auto"/>
        <w:ind w:firstLine="709"/>
        <w:jc w:val="both"/>
        <w:rPr>
          <w:sz w:val="28"/>
          <w:szCs w:val="28"/>
        </w:rPr>
      </w:pPr>
      <w:r w:rsidRPr="00A7432E">
        <w:rPr>
          <w:b/>
          <w:sz w:val="28"/>
          <w:szCs w:val="28"/>
        </w:rPr>
        <w:t>ЗНАТЬ</w:t>
      </w:r>
      <w:r w:rsidRPr="00A7432E">
        <w:rPr>
          <w:sz w:val="28"/>
          <w:szCs w:val="28"/>
        </w:rPr>
        <w:t>:</w:t>
      </w:r>
    </w:p>
    <w:p w:rsidR="00786C9E" w:rsidRDefault="00786C9E" w:rsidP="00786C9E">
      <w:pPr>
        <w:pStyle w:val="2"/>
      </w:pPr>
      <w:r>
        <w:t>- способы организации технологических процессов ремонта локомотивов в локомотиворемонтных депо и на локомотиворемонтных заводах;</w:t>
      </w:r>
    </w:p>
    <w:p w:rsidR="00786C9E" w:rsidRPr="00E42D65" w:rsidRDefault="00786C9E" w:rsidP="00786C9E">
      <w:pPr>
        <w:pStyle w:val="2"/>
      </w:pPr>
      <w:r>
        <w:t>- особенности функционирования эксплуатационных локомотивных депо и организацию их работы.</w:t>
      </w:r>
    </w:p>
    <w:p w:rsidR="00786C9E" w:rsidRPr="00A7432E" w:rsidRDefault="00786C9E" w:rsidP="00786C9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7432E">
        <w:rPr>
          <w:b/>
          <w:sz w:val="28"/>
          <w:szCs w:val="28"/>
        </w:rPr>
        <w:t>УМЕТЬ:</w:t>
      </w:r>
    </w:p>
    <w:p w:rsidR="00786C9E" w:rsidRDefault="00786C9E" w:rsidP="00786C9E">
      <w:pPr>
        <w:spacing w:after="0" w:line="240" w:lineRule="auto"/>
        <w:ind w:firstLine="709"/>
        <w:jc w:val="both"/>
        <w:rPr>
          <w:sz w:val="28"/>
          <w:szCs w:val="28"/>
        </w:rPr>
      </w:pPr>
      <w:r w:rsidRPr="003F4B85">
        <w:rPr>
          <w:sz w:val="28"/>
          <w:szCs w:val="28"/>
        </w:rPr>
        <w:t xml:space="preserve">- определять </w:t>
      </w:r>
      <w:r>
        <w:rPr>
          <w:sz w:val="28"/>
          <w:szCs w:val="28"/>
        </w:rPr>
        <w:t>необходимое оборудование для выполнения различных видов ремонта локомотивов;</w:t>
      </w:r>
    </w:p>
    <w:p w:rsidR="00786C9E" w:rsidRPr="003F4B85" w:rsidRDefault="00786C9E" w:rsidP="00786C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экипировочные устройства и территорию локомотивных депо.</w:t>
      </w:r>
    </w:p>
    <w:p w:rsidR="00786C9E" w:rsidRPr="00A7432E" w:rsidRDefault="00786C9E" w:rsidP="00786C9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7432E">
        <w:rPr>
          <w:b/>
          <w:sz w:val="28"/>
          <w:szCs w:val="28"/>
        </w:rPr>
        <w:t>ВЛАДЕТЬ:</w:t>
      </w:r>
    </w:p>
    <w:p w:rsidR="00786C9E" w:rsidRDefault="00786C9E" w:rsidP="00786C9E">
      <w:pPr>
        <w:spacing w:after="0" w:line="240" w:lineRule="auto"/>
        <w:ind w:firstLine="709"/>
        <w:jc w:val="both"/>
        <w:rPr>
          <w:sz w:val="28"/>
          <w:szCs w:val="28"/>
        </w:rPr>
      </w:pPr>
      <w:r w:rsidRPr="00A7432E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методами расчета потребной оснащенности локомотиворемонтных предприятий;</w:t>
      </w:r>
    </w:p>
    <w:p w:rsidR="00786C9E" w:rsidRDefault="00786C9E" w:rsidP="00786C9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методами расчета размещения эксплуатационных депо и пунктов оборота локомотивных бригад.</w:t>
      </w:r>
    </w:p>
    <w:p w:rsidR="00510F3F" w:rsidRPr="00516680" w:rsidRDefault="00510F3F" w:rsidP="00786C9E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04973" w:rsidRPr="00104973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86C9E" w:rsidRPr="00786C9E" w:rsidRDefault="00786C9E" w:rsidP="00786C9E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86C9E">
        <w:rPr>
          <w:rFonts w:eastAsia="Times New Roman" w:cs="Times New Roman"/>
          <w:b/>
          <w:sz w:val="28"/>
          <w:szCs w:val="28"/>
          <w:lang w:eastAsia="ru-RU"/>
        </w:rPr>
        <w:t>организационно-управленческая деятельность:</w:t>
      </w:r>
    </w:p>
    <w:p w:rsidR="00786C9E" w:rsidRPr="00786C9E" w:rsidRDefault="00786C9E" w:rsidP="00786C9E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86C9E">
        <w:rPr>
          <w:rFonts w:eastAsia="Times New Roman" w:cs="Times New Roman"/>
          <w:sz w:val="28"/>
          <w:szCs w:val="28"/>
          <w:lang w:eastAsia="ru-RU"/>
        </w:rPr>
        <w:t>- 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proofErr w:type="gramEnd"/>
      <w:r w:rsidRPr="00786C9E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6C9E">
        <w:rPr>
          <w:rFonts w:eastAsia="Times New Roman" w:cs="Times New Roman"/>
          <w:sz w:val="28"/>
          <w:szCs w:val="28"/>
          <w:lang w:eastAsia="ru-RU"/>
        </w:rPr>
        <w:t>ПК-11);</w:t>
      </w:r>
      <w:proofErr w:type="gramEnd"/>
    </w:p>
    <w:p w:rsidR="00786C9E" w:rsidRPr="00786C9E" w:rsidRDefault="00786C9E" w:rsidP="00786C9E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6C9E">
        <w:rPr>
          <w:rFonts w:eastAsia="Times New Roman" w:cs="Times New Roman"/>
          <w:sz w:val="28"/>
          <w:szCs w:val="28"/>
          <w:lang w:eastAsia="ru-RU"/>
        </w:rPr>
        <w:t>- 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(ПК-12);</w:t>
      </w:r>
    </w:p>
    <w:p w:rsidR="00786C9E" w:rsidRPr="00786C9E" w:rsidRDefault="00786C9E" w:rsidP="00786C9E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6C9E">
        <w:rPr>
          <w:rFonts w:eastAsia="Times New Roman" w:cs="Times New Roman"/>
          <w:sz w:val="28"/>
          <w:szCs w:val="28"/>
          <w:lang w:eastAsia="ru-RU"/>
        </w:rPr>
        <w:t>- способностью планировать размещение технологического оборудования, техническое оснащение и организацию рабочих мест, выполнять расчеты производственных мощностей и загрузки оборудования по действующим методикам и нормативам, руководить работами по осмотру и ремонту подвижного состава (ПК-15);</w:t>
      </w:r>
    </w:p>
    <w:p w:rsidR="00667C47" w:rsidRPr="00786C9E" w:rsidRDefault="00510F3F" w:rsidP="00667C47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86C9E">
        <w:rPr>
          <w:rFonts w:eastAsia="Times New Roman" w:cs="Times New Roman"/>
          <w:b/>
          <w:sz w:val="28"/>
          <w:szCs w:val="28"/>
          <w:lang w:eastAsia="ru-RU"/>
        </w:rPr>
        <w:t>проектно-конструкторская деятельность:</w:t>
      </w:r>
    </w:p>
    <w:p w:rsidR="00786C9E" w:rsidRPr="00786C9E" w:rsidRDefault="00510F3F" w:rsidP="00786C9E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6C9E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786C9E" w:rsidRPr="00786C9E">
        <w:rPr>
          <w:rFonts w:eastAsia="Times New Roman" w:cs="Times New Roman"/>
          <w:sz w:val="28"/>
          <w:szCs w:val="28"/>
          <w:lang w:eastAsia="ru-RU"/>
        </w:rPr>
        <w:t>способностью разрабатывать с учетом эстетических, прочностных и экономических параметров технические задания и технические условия на проекты подвижного состава и его отдельных элементов, составлять планы размещения оборудования, технического оснащения и организации рабочих мест, рассчитывать загрузку оборудования и показатели качества продукции (ПК-20).</w:t>
      </w:r>
    </w:p>
    <w:p w:rsidR="00516680" w:rsidRDefault="00786C9E" w:rsidP="00786C9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 w:val="28"/>
          <w:szCs w:val="28"/>
          <w:lang w:eastAsia="ru-RU"/>
        </w:rPr>
        <w:t>о-специализированных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К)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786C9E" w:rsidRDefault="00786C9E" w:rsidP="00786C9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86C9E">
        <w:rPr>
          <w:rFonts w:eastAsia="Times New Roman" w:cs="Times New Roman"/>
          <w:sz w:val="28"/>
          <w:szCs w:val="28"/>
          <w:lang w:eastAsia="ru-RU"/>
        </w:rPr>
        <w:t xml:space="preserve">способностью демонстрировать знания особенностей технологического оснащения предприятий по производству и ремонту подвижного состава, проектировать и модернизировать технологическое оснащение предприятий по ремонту подвижного состава, производить оценку технологических возможностей станков, оборудования и средств </w:t>
      </w:r>
      <w:r w:rsidRPr="00786C9E">
        <w:rPr>
          <w:rFonts w:eastAsia="Times New Roman" w:cs="Times New Roman"/>
          <w:sz w:val="28"/>
          <w:szCs w:val="28"/>
          <w:lang w:eastAsia="ru-RU"/>
        </w:rPr>
        <w:lastRenderedPageBreak/>
        <w:t>технологического оснащения, умением ориентироваться в выборе средств метрологического обеспечения технологических процессов, владением методами расчета и проектирования специализированных станков и технологической оснастки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(ПСК-4.4);</w:t>
      </w:r>
      <w:proofErr w:type="gramEnd"/>
    </w:p>
    <w:p w:rsidR="00786C9E" w:rsidRDefault="00786C9E" w:rsidP="00786C9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86C9E">
        <w:rPr>
          <w:rFonts w:eastAsia="Times New Roman" w:cs="Times New Roman"/>
          <w:sz w:val="28"/>
          <w:szCs w:val="28"/>
          <w:lang w:eastAsia="ru-RU"/>
        </w:rPr>
        <w:t>способностью демонстрировать знания особенности автоматизации технологических процессов в машиностроении, при производстве и ремонте подвижного состава, умением проектировать технологические процессы автоматизированного производства и ремонта подвижного состава, выбирать и использовать высокоэффективное современное технологическое оборудование для автоматизации и роботизации производственных процессов, владением современными методами и программными продуктами автоматизированного проектирования и моделирования производственных процессов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(ПСК-4.5).</w:t>
      </w:r>
      <w:proofErr w:type="gramEnd"/>
    </w:p>
    <w:p w:rsidR="00786C9E" w:rsidRPr="00E30644" w:rsidRDefault="00786C9E" w:rsidP="00510F3F">
      <w:pPr>
        <w:pStyle w:val="a3"/>
        <w:spacing w:after="0" w:line="240" w:lineRule="auto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3B3D4C">
        <w:rPr>
          <w:rFonts w:eastAsia="Times New Roman" w:cs="Times New Roman"/>
          <w:sz w:val="28"/>
          <w:szCs w:val="28"/>
          <w:lang w:eastAsia="ru-RU"/>
        </w:rPr>
        <w:t>Проектирование предприятий локомотивного хозяйства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10F3F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10F3F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10F3F">
        <w:rPr>
          <w:rFonts w:eastAsia="Times New Roman" w:cs="Times New Roman"/>
          <w:sz w:val="28"/>
          <w:szCs w:val="28"/>
          <w:lang w:eastAsia="ru-RU"/>
        </w:rPr>
        <w:t>.В</w:t>
      </w:r>
      <w:r w:rsidR="00943A36">
        <w:rPr>
          <w:rFonts w:eastAsia="Times New Roman" w:cs="Times New Roman"/>
          <w:sz w:val="28"/>
          <w:szCs w:val="28"/>
          <w:lang w:eastAsia="ru-RU"/>
        </w:rPr>
        <w:t>.</w:t>
      </w:r>
      <w:r w:rsidR="003B3D4C">
        <w:rPr>
          <w:rFonts w:eastAsia="Times New Roman" w:cs="Times New Roman"/>
          <w:sz w:val="28"/>
          <w:szCs w:val="28"/>
          <w:lang w:eastAsia="ru-RU"/>
        </w:rPr>
        <w:t>ДВ.5</w:t>
      </w:r>
      <w:r w:rsidR="00510F3F">
        <w:rPr>
          <w:rFonts w:eastAsia="Times New Roman" w:cs="Times New Roman"/>
          <w:sz w:val="28"/>
          <w:szCs w:val="28"/>
          <w:lang w:eastAsia="ru-RU"/>
        </w:rPr>
        <w:t>.2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510F3F">
        <w:rPr>
          <w:rFonts w:eastAsia="Times New Roman" w:cs="Times New Roman"/>
          <w:sz w:val="28"/>
          <w:szCs w:val="28"/>
          <w:lang w:eastAsia="ru-RU"/>
        </w:rPr>
        <w:t>вариативной части и является дисциплиной по выбору обучающегося.</w:t>
      </w:r>
    </w:p>
    <w:p w:rsidR="00956591" w:rsidRPr="00104973" w:rsidRDefault="0095659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516680" w:rsidRDefault="00104973" w:rsidP="003B3D4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648"/>
        <w:gridCol w:w="1390"/>
      </w:tblGrid>
      <w:tr w:rsidR="00206F90" w:rsidRPr="00104973" w:rsidTr="00206F90">
        <w:trPr>
          <w:jc w:val="center"/>
        </w:trPr>
        <w:tc>
          <w:tcPr>
            <w:tcW w:w="5353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206F90" w:rsidRPr="00104973" w:rsidRDefault="003B3D4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206F90" w:rsidRPr="00104973" w:rsidRDefault="00D9264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3B3D4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9264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B3D4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0" w:type="dxa"/>
            <w:vAlign w:val="center"/>
          </w:tcPr>
          <w:p w:rsidR="00206F90" w:rsidRPr="00104973" w:rsidRDefault="00D9264A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9264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B3D4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206F90" w:rsidRPr="00104973" w:rsidRDefault="00D9264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90" w:type="dxa"/>
            <w:vAlign w:val="center"/>
          </w:tcPr>
          <w:p w:rsidR="00206F90" w:rsidRPr="00104973" w:rsidRDefault="00D9264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206F90" w:rsidRPr="00104973" w:rsidRDefault="00D9264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206F90" w:rsidRPr="00104973" w:rsidRDefault="00D9264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90" w:type="dxa"/>
            <w:vAlign w:val="center"/>
          </w:tcPr>
          <w:p w:rsidR="00206F90" w:rsidRPr="00104973" w:rsidRDefault="00510F3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206F90" w:rsidRPr="00104973" w:rsidRDefault="003B3D4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206F9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  <w:vAlign w:val="center"/>
          </w:tcPr>
          <w:p w:rsidR="00206F90" w:rsidRPr="00104973" w:rsidRDefault="003B3D4C" w:rsidP="00510F3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Default="00DA778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3D4C" w:rsidRPr="00104973" w:rsidRDefault="003B3D4C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3B3D4C" w:rsidRDefault="003B3D4C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96"/>
        <w:gridCol w:w="6421"/>
      </w:tblGrid>
      <w:tr w:rsidR="003B3D4C" w:rsidRPr="00E0011B" w:rsidTr="003B3D4C">
        <w:trPr>
          <w:trHeight w:val="584"/>
          <w:tblHeader/>
        </w:trPr>
        <w:tc>
          <w:tcPr>
            <w:tcW w:w="631" w:type="dxa"/>
          </w:tcPr>
          <w:p w:rsidR="003B3D4C" w:rsidRPr="00B40D20" w:rsidRDefault="003B3D4C" w:rsidP="003B3D4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40D20">
              <w:rPr>
                <w:b/>
                <w:sz w:val="22"/>
              </w:rPr>
              <w:t xml:space="preserve">№ </w:t>
            </w:r>
            <w:proofErr w:type="gramStart"/>
            <w:r w:rsidRPr="00B40D20">
              <w:rPr>
                <w:b/>
                <w:sz w:val="22"/>
              </w:rPr>
              <w:t>п</w:t>
            </w:r>
            <w:proofErr w:type="gramEnd"/>
            <w:r w:rsidRPr="00B40D20">
              <w:rPr>
                <w:b/>
                <w:sz w:val="22"/>
              </w:rPr>
              <w:t>/п</w:t>
            </w:r>
          </w:p>
        </w:tc>
        <w:tc>
          <w:tcPr>
            <w:tcW w:w="2596" w:type="dxa"/>
          </w:tcPr>
          <w:p w:rsidR="003B3D4C" w:rsidRPr="00B40D20" w:rsidRDefault="003B3D4C" w:rsidP="003B3D4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40D20">
              <w:rPr>
                <w:b/>
                <w:sz w:val="22"/>
              </w:rPr>
              <w:t xml:space="preserve">Наименование раздела </w:t>
            </w:r>
          </w:p>
          <w:p w:rsidR="003B3D4C" w:rsidRPr="00B40D20" w:rsidRDefault="003B3D4C" w:rsidP="003B3D4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40D20">
              <w:rPr>
                <w:b/>
                <w:sz w:val="22"/>
              </w:rPr>
              <w:t>дисциплины</w:t>
            </w:r>
          </w:p>
        </w:tc>
        <w:tc>
          <w:tcPr>
            <w:tcW w:w="6421" w:type="dxa"/>
          </w:tcPr>
          <w:p w:rsidR="003B3D4C" w:rsidRPr="00B40D20" w:rsidRDefault="003B3D4C" w:rsidP="003B3D4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40D20">
              <w:rPr>
                <w:b/>
                <w:sz w:val="22"/>
              </w:rPr>
              <w:t>Содержание раздела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1</w:t>
            </w:r>
          </w:p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napToGrid w:val="0"/>
                <w:szCs w:val="24"/>
              </w:rPr>
              <w:t xml:space="preserve">Введение. Содержание и задачи изучаемой дисциплины. </w:t>
            </w:r>
            <w:r w:rsidRPr="0010078F">
              <w:rPr>
                <w:color w:val="000000"/>
                <w:spacing w:val="5"/>
                <w:szCs w:val="24"/>
              </w:rPr>
              <w:t xml:space="preserve">Принцип управления локомотивным хозяйством. </w:t>
            </w:r>
            <w:r w:rsidRPr="0010078F">
              <w:rPr>
                <w:color w:val="000000"/>
                <w:szCs w:val="24"/>
              </w:rPr>
              <w:t xml:space="preserve">Функции подразделений локомотивного хозяйства. </w:t>
            </w:r>
            <w:r w:rsidRPr="0010078F">
              <w:rPr>
                <w:color w:val="000000"/>
                <w:spacing w:val="1"/>
                <w:szCs w:val="24"/>
              </w:rPr>
              <w:t xml:space="preserve">Ремонтные и эксплуатационные локомотивное депо, их классификация по назначению и характеру работы. </w:t>
            </w:r>
            <w:r w:rsidRPr="0010078F">
              <w:rPr>
                <w:color w:val="000000"/>
                <w:szCs w:val="24"/>
              </w:rPr>
              <w:t xml:space="preserve">Примерная структура </w:t>
            </w:r>
            <w:r w:rsidRPr="0010078F">
              <w:rPr>
                <w:color w:val="000000"/>
                <w:spacing w:val="1"/>
                <w:szCs w:val="24"/>
              </w:rPr>
              <w:t>ремонтного и эксплуатационного локомотивного  депо</w:t>
            </w:r>
            <w:r w:rsidRPr="0010078F">
              <w:rPr>
                <w:color w:val="000000"/>
                <w:szCs w:val="24"/>
              </w:rPr>
              <w:t xml:space="preserve">. Назначение линейных производственных предприятия локомотивного хозяйства: </w:t>
            </w:r>
            <w:r w:rsidRPr="0010078F">
              <w:rPr>
                <w:color w:val="000000"/>
                <w:spacing w:val="1"/>
                <w:szCs w:val="24"/>
              </w:rPr>
              <w:t xml:space="preserve">оборотных депо, пунктов смены локомотивных бригад, пунктов технического </w:t>
            </w:r>
            <w:r w:rsidRPr="0010078F">
              <w:rPr>
                <w:color w:val="000000"/>
                <w:spacing w:val="-9"/>
                <w:szCs w:val="24"/>
              </w:rPr>
              <w:t>обслуживания локомотивов, пунктов экипировки, окладов топлива.</w:t>
            </w:r>
            <w:r w:rsidRPr="0010078F">
              <w:rPr>
                <w:szCs w:val="24"/>
              </w:rPr>
              <w:t xml:space="preserve"> 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2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Выбор производственной мощности и месторасположения линейных предприятий локомотивного хозяйства. Оборудование для ремонта локомотивов. 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Размещение ремонтной базы в зоне обращения локомотивов. Определение её пропускной способности, специализация и кооперация ремонта локомотивов. Программа и фронт ремонтов локомотивов. Простой в ремонте и пути его сокращения. Количество ремонтных позиций. Оборудование для ремонта локомотивов, определение его потребного количества. Табели оборудования для типовых проектов локомотивных депо. 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Определение штата ремонтных цехов. 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Определение штата ремонтных рабочих и персонала ремонтных участков депо. Нормативы трудоёмкости ремонтных работ по техническому обслуживанию и ремонту локомотивов. Организация труда ремонтных бригад. 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4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Организация технического обслуживания локомотивов. 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color w:val="000000"/>
                <w:spacing w:val="-6"/>
                <w:szCs w:val="24"/>
              </w:rPr>
              <w:t>Система и основы организации технического обслуживания тепловозов.</w:t>
            </w:r>
            <w:r w:rsidRPr="0010078F">
              <w:rPr>
                <w:szCs w:val="24"/>
              </w:rPr>
              <w:t xml:space="preserve"> Продолжительность ТО-2, трудоёмкость работ. Потребное количество ремонтных позиций для проведения ТО-2 локомотивов. Штат работников  ТО-2. Совмещённые пункты технического обслуживания и экипировки локомотивов (ПТОЛ). 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5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hd w:val="clear" w:color="auto" w:fill="FFFFFF"/>
              <w:tabs>
                <w:tab w:val="left" w:leader="underscore" w:pos="9639"/>
              </w:tabs>
              <w:spacing w:before="14" w:after="0" w:line="240" w:lineRule="auto"/>
              <w:jc w:val="center"/>
              <w:rPr>
                <w:color w:val="000000"/>
                <w:spacing w:val="1"/>
                <w:szCs w:val="24"/>
              </w:rPr>
            </w:pPr>
          </w:p>
          <w:p w:rsidR="003B3D4C" w:rsidRPr="0010078F" w:rsidRDefault="003B3D4C" w:rsidP="003B3D4C">
            <w:pPr>
              <w:shd w:val="clear" w:color="auto" w:fill="FFFFFF"/>
              <w:tabs>
                <w:tab w:val="left" w:leader="underscore" w:pos="9639"/>
              </w:tabs>
              <w:spacing w:before="14"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Экипировочное хозяйство. Топливное и смазочное хозяйства.</w:t>
            </w:r>
            <w:r w:rsidRPr="0010078F">
              <w:rPr>
                <w:color w:val="000000"/>
                <w:spacing w:val="1"/>
                <w:szCs w:val="24"/>
              </w:rPr>
              <w:t xml:space="preserve"> </w:t>
            </w:r>
          </w:p>
          <w:p w:rsidR="003B3D4C" w:rsidRPr="0010078F" w:rsidRDefault="003B3D4C" w:rsidP="003B3D4C">
            <w:pPr>
              <w:spacing w:before="120" w:after="0" w:line="240" w:lineRule="auto"/>
              <w:jc w:val="both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before="60"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Комплекс экипировочных устройств. Размещение экипировочных устройств на линии и в депо. Продолжительность экипировочных операций. Потребное количество позиций для экипировки. Трудоёмкость работ. Штат работников по экипировке.</w:t>
            </w:r>
          </w:p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Топливное хозяйство депо. Основы нормирования расхода топлива, определение расхода топлива тепловозами депо для выполнения заданного объёма перевозок. Определение ёмкости складов топлива. Выбор устрой</w:t>
            </w:r>
            <w:proofErr w:type="gramStart"/>
            <w:r w:rsidRPr="0010078F">
              <w:rPr>
                <w:szCs w:val="24"/>
              </w:rPr>
              <w:t>ств дл</w:t>
            </w:r>
            <w:proofErr w:type="gramEnd"/>
            <w:r w:rsidRPr="0010078F">
              <w:rPr>
                <w:szCs w:val="24"/>
              </w:rPr>
              <w:t xml:space="preserve">я слива топлива из цистерн, хранения и подачи топлива на тепловозы. </w:t>
            </w:r>
          </w:p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Смазочное хозяйство депо. Нормы расхода и определения расхода смазочных материалов в депо. Склады смазочных материалов, устройства для хранения и выдачи смазочных </w:t>
            </w:r>
            <w:r w:rsidRPr="0010078F">
              <w:rPr>
                <w:szCs w:val="24"/>
              </w:rPr>
              <w:lastRenderedPageBreak/>
              <w:t xml:space="preserve">материалов на локомотивы. 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lastRenderedPageBreak/>
              <w:t>6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Устройства для снабжения локомотивов 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before="60"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Устройства для снабжения локомотивов песком. Определение расхода песка и ёмкости складов песка. Выбор основных параметров устрой</w:t>
            </w:r>
            <w:proofErr w:type="gramStart"/>
            <w:r w:rsidRPr="0010078F">
              <w:rPr>
                <w:szCs w:val="24"/>
              </w:rPr>
              <w:t>ств дл</w:t>
            </w:r>
            <w:proofErr w:type="gramEnd"/>
            <w:r w:rsidRPr="0010078F">
              <w:rPr>
                <w:szCs w:val="24"/>
              </w:rPr>
              <w:t xml:space="preserve">я приготовления песка. Преимущества централизованной схемы снабжения локомотивов песком. Автоматизация технологического процесса приготовления  и транспортировки песка на локомотивы. </w:t>
            </w:r>
          </w:p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Устройства для приготовления охлаждающей воды и воды для аккумуляторных батарей.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7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Здания локомотивного хозяйства.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Типы зданий депо,</w:t>
            </w:r>
            <w:r w:rsidRPr="0010078F">
              <w:rPr>
                <w:color w:val="000000"/>
                <w:spacing w:val="1"/>
                <w:szCs w:val="24"/>
              </w:rPr>
              <w:t xml:space="preserve"> их сравнительная оценка</w:t>
            </w:r>
            <w:r w:rsidRPr="0010078F">
              <w:rPr>
                <w:szCs w:val="24"/>
              </w:rPr>
              <w:t>. Выбор типа здания, определение основных размеров ремонтных участков и  здания депо. Унификация размеров зданий.</w:t>
            </w:r>
            <w:r w:rsidRPr="0010078F">
              <w:rPr>
                <w:color w:val="000000"/>
                <w:spacing w:val="1"/>
                <w:szCs w:val="24"/>
              </w:rPr>
              <w:t xml:space="preserve"> Специализация ремонтных позиций. Расчет количества необходимых ремонтных позиций</w:t>
            </w:r>
            <w:r w:rsidRPr="0010078F">
              <w:rPr>
                <w:color w:val="000000"/>
                <w:szCs w:val="24"/>
              </w:rPr>
              <w:t>. Принципы рационального размещения ремонтных участков и отделений депо, расстановка оборудования в них. Вспомогательные и бытовые помещения в депо.</w:t>
            </w:r>
          </w:p>
        </w:tc>
      </w:tr>
      <w:tr w:rsidR="003B3D4C" w:rsidRPr="00E0011B" w:rsidTr="003B3D4C">
        <w:trPr>
          <w:trHeight w:val="20"/>
        </w:trPr>
        <w:tc>
          <w:tcPr>
            <w:tcW w:w="631" w:type="dxa"/>
            <w:vAlign w:val="center"/>
          </w:tcPr>
          <w:p w:rsidR="003B3D4C" w:rsidRPr="0010078F" w:rsidRDefault="003B3D4C" w:rsidP="003B3D4C">
            <w:pPr>
              <w:spacing w:before="120" w:after="0" w:line="240" w:lineRule="auto"/>
              <w:jc w:val="center"/>
              <w:rPr>
                <w:szCs w:val="24"/>
              </w:rPr>
            </w:pPr>
            <w:r w:rsidRPr="0010078F">
              <w:rPr>
                <w:szCs w:val="24"/>
              </w:rPr>
              <w:t>8</w:t>
            </w:r>
          </w:p>
        </w:tc>
        <w:tc>
          <w:tcPr>
            <w:tcW w:w="2596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bCs/>
                <w:color w:val="000000"/>
                <w:spacing w:val="1"/>
                <w:szCs w:val="24"/>
              </w:rPr>
              <w:t>Тяговая территория локомотивного депо.</w:t>
            </w:r>
            <w:r w:rsidRPr="0010078F">
              <w:rPr>
                <w:szCs w:val="24"/>
              </w:rPr>
              <w:t xml:space="preserve"> Этапы разработки проекта на строительство новых и реконструкцию существующих устройств и сооружений локомотивного хозяйства.   </w:t>
            </w:r>
          </w:p>
        </w:tc>
        <w:tc>
          <w:tcPr>
            <w:tcW w:w="6421" w:type="dxa"/>
            <w:vAlign w:val="center"/>
          </w:tcPr>
          <w:p w:rsidR="003B3D4C" w:rsidRPr="0010078F" w:rsidRDefault="003B3D4C" w:rsidP="003B3D4C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color w:val="000000"/>
                <w:spacing w:val="4"/>
                <w:szCs w:val="24"/>
              </w:rPr>
              <w:t xml:space="preserve">Генеральный   план   тяговой   территории.   Основные   сооружения   на   тяговой </w:t>
            </w:r>
            <w:r w:rsidRPr="0010078F">
              <w:rPr>
                <w:color w:val="000000"/>
                <w:szCs w:val="24"/>
              </w:rPr>
              <w:t>территории депо. Специализация путей на тяговой территории.</w:t>
            </w:r>
            <w:r w:rsidRPr="0010078F">
              <w:rPr>
                <w:szCs w:val="24"/>
              </w:rPr>
              <w:t xml:space="preserve"> Требования к путевому развитию тяговой территории депо. </w:t>
            </w:r>
            <w:r w:rsidRPr="0010078F">
              <w:rPr>
                <w:color w:val="000000"/>
                <w:spacing w:val="3"/>
                <w:szCs w:val="24"/>
              </w:rPr>
              <w:t xml:space="preserve">Основные принципы размещения устройств и </w:t>
            </w:r>
            <w:r w:rsidRPr="0010078F">
              <w:rPr>
                <w:color w:val="000000"/>
                <w:spacing w:val="1"/>
                <w:szCs w:val="24"/>
              </w:rPr>
              <w:t xml:space="preserve">сооружений деповского хозяйства на тяговой территории депо. </w:t>
            </w:r>
            <w:r w:rsidRPr="0010078F">
              <w:rPr>
                <w:szCs w:val="24"/>
              </w:rPr>
              <w:t xml:space="preserve">Этапы разработки проекта на строительство новых и реконструкцию существующих устройств и сооружений локомотивного хозяйства. </w:t>
            </w:r>
          </w:p>
        </w:tc>
      </w:tr>
    </w:tbl>
    <w:p w:rsidR="00104973" w:rsidRPr="00104973" w:rsidRDefault="00104973" w:rsidP="003B3D4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39768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992" w:type="dxa"/>
            <w:vAlign w:val="center"/>
          </w:tcPr>
          <w:p w:rsidR="005C553C" w:rsidRPr="00104973" w:rsidRDefault="00D9264A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Pr="00104973" w:rsidRDefault="00D92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Выбор производственной мощности и месторасположения линейных предприятий локомотивного хозяйства. Оборудование для ремонта локомотивов. 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Pr="00104973" w:rsidRDefault="00D92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Определение штата ремонтных цехов. 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Pr="00104973" w:rsidRDefault="00D92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Организация технического обслуживания локомотивов. 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Pr="00104973" w:rsidRDefault="0065667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5C553C">
            <w:pPr>
              <w:shd w:val="clear" w:color="auto" w:fill="FFFFFF"/>
              <w:tabs>
                <w:tab w:val="left" w:leader="underscore" w:pos="9639"/>
              </w:tabs>
              <w:spacing w:before="14"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Экипировочное хозяйство. Топливное и смазочное хозяйства.</w:t>
            </w:r>
            <w:r w:rsidRPr="0010078F">
              <w:rPr>
                <w:color w:val="000000"/>
                <w:spacing w:val="1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Pr="00104973" w:rsidRDefault="00D92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79A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 xml:space="preserve">Устройства для снабжения локомотивов </w:t>
            </w:r>
            <w:r w:rsidRPr="0010078F">
              <w:rPr>
                <w:szCs w:val="24"/>
              </w:rPr>
              <w:lastRenderedPageBreak/>
              <w:t>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szCs w:val="24"/>
              </w:rPr>
              <w:t>Здания локомотивного хозяйства.</w:t>
            </w:r>
          </w:p>
        </w:tc>
        <w:tc>
          <w:tcPr>
            <w:tcW w:w="992" w:type="dxa"/>
            <w:vAlign w:val="center"/>
          </w:tcPr>
          <w:p w:rsidR="005C553C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53C" w:rsidRPr="00104973" w:rsidTr="00201AEC">
        <w:trPr>
          <w:jc w:val="center"/>
        </w:trPr>
        <w:tc>
          <w:tcPr>
            <w:tcW w:w="628" w:type="dxa"/>
            <w:vAlign w:val="center"/>
          </w:tcPr>
          <w:p w:rsidR="005C553C" w:rsidRPr="00FE479A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5C553C" w:rsidRPr="0010078F" w:rsidRDefault="005C553C" w:rsidP="00BD25B8">
            <w:pPr>
              <w:spacing w:after="0" w:line="240" w:lineRule="auto"/>
              <w:jc w:val="both"/>
              <w:rPr>
                <w:szCs w:val="24"/>
              </w:rPr>
            </w:pPr>
            <w:r w:rsidRPr="0010078F">
              <w:rPr>
                <w:bCs/>
                <w:color w:val="000000"/>
                <w:spacing w:val="1"/>
                <w:szCs w:val="24"/>
              </w:rPr>
              <w:t>Тяговая территория локомотивного депо.</w:t>
            </w:r>
            <w:r w:rsidRPr="0010078F">
              <w:rPr>
                <w:szCs w:val="24"/>
              </w:rPr>
              <w:t xml:space="preserve"> Этапы разработки проекта на строительство новых и реконструкцию существующих устройств и сооружений локомотивного хозяйства.   </w:t>
            </w:r>
          </w:p>
        </w:tc>
        <w:tc>
          <w:tcPr>
            <w:tcW w:w="992" w:type="dxa"/>
            <w:vAlign w:val="center"/>
          </w:tcPr>
          <w:p w:rsidR="005C553C" w:rsidRDefault="005C553C" w:rsidP="00840B0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C553C" w:rsidRDefault="00D92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5C553C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D9264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9264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553C" w:rsidRPr="00104973" w:rsidRDefault="005C553C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5C553C" w:rsidRPr="00104973" w:rsidRDefault="00D9264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952379" w:rsidRPr="00952379" w:rsidTr="00BD25B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52379">
              <w:rPr>
                <w:b/>
                <w:bCs/>
                <w:szCs w:val="24"/>
              </w:rPr>
              <w:t>№</w:t>
            </w:r>
          </w:p>
          <w:p w:rsidR="00952379" w:rsidRPr="00952379" w:rsidRDefault="00952379" w:rsidP="009523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gramStart"/>
            <w:r w:rsidRPr="00952379">
              <w:rPr>
                <w:b/>
                <w:bCs/>
                <w:szCs w:val="24"/>
              </w:rPr>
              <w:t>п</w:t>
            </w:r>
            <w:proofErr w:type="gramEnd"/>
            <w:r w:rsidRPr="00952379">
              <w:rPr>
                <w:b/>
                <w:bCs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52379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52379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>Введение. Структура и организация управления локомотивным хозяйством. Линейные предприятия локомотивного хозяйства.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952379" w:rsidRPr="00952379" w:rsidRDefault="00952379" w:rsidP="00952379">
            <w:pPr>
              <w:shd w:val="clear" w:color="auto" w:fill="FFFFFF"/>
              <w:spacing w:after="0" w:line="240" w:lineRule="auto"/>
              <w:ind w:left="11"/>
              <w:rPr>
                <w:color w:val="000000"/>
                <w:spacing w:val="1"/>
                <w:szCs w:val="24"/>
              </w:rPr>
            </w:pPr>
            <w:r w:rsidRPr="00952379">
              <w:rPr>
                <w:szCs w:val="24"/>
              </w:rPr>
              <w:t>1</w:t>
            </w:r>
            <w:r w:rsidRPr="00952379">
              <w:rPr>
                <w:snapToGrid w:val="0"/>
                <w:szCs w:val="24"/>
              </w:rPr>
              <w:t xml:space="preserve">. </w:t>
            </w:r>
            <w:proofErr w:type="spellStart"/>
            <w:r w:rsidRPr="00952379">
              <w:rPr>
                <w:color w:val="000000"/>
                <w:spacing w:val="1"/>
                <w:szCs w:val="24"/>
              </w:rPr>
              <w:t>Айзинбуд</w:t>
            </w:r>
            <w:proofErr w:type="spellEnd"/>
            <w:r w:rsidRPr="00952379">
              <w:rPr>
                <w:color w:val="000000"/>
                <w:spacing w:val="1"/>
                <w:szCs w:val="24"/>
              </w:rPr>
              <w:t xml:space="preserve"> С.Я. Эксплуатация локомотивов. - М.:   </w:t>
            </w:r>
            <w:r w:rsidRPr="00952379">
              <w:rPr>
                <w:szCs w:val="24"/>
              </w:rPr>
              <w:t>«</w:t>
            </w:r>
            <w:proofErr w:type="spellStart"/>
            <w:r w:rsidRPr="00952379">
              <w:rPr>
                <w:szCs w:val="24"/>
              </w:rPr>
              <w:t>Желдориздат</w:t>
            </w:r>
            <w:proofErr w:type="spellEnd"/>
            <w:r w:rsidRPr="00952379">
              <w:rPr>
                <w:szCs w:val="24"/>
              </w:rPr>
              <w:t xml:space="preserve">», </w:t>
            </w:r>
            <w:r w:rsidRPr="00952379">
              <w:rPr>
                <w:color w:val="000000"/>
                <w:spacing w:val="1"/>
                <w:szCs w:val="24"/>
              </w:rPr>
              <w:t xml:space="preserve">2003. – 262 с. </w:t>
            </w:r>
          </w:p>
          <w:p w:rsidR="00952379" w:rsidRPr="00952379" w:rsidRDefault="00952379" w:rsidP="00952379">
            <w:pPr>
              <w:spacing w:after="0" w:line="240" w:lineRule="auto"/>
              <w:rPr>
                <w:szCs w:val="24"/>
              </w:rPr>
            </w:pPr>
            <w:r w:rsidRPr="00952379">
              <w:rPr>
                <w:szCs w:val="24"/>
              </w:rPr>
              <w:t>2. Некрашевич В.И. Управление эксплуатацией локомотивов. - РГОТУПС, 2010. - 257с.</w:t>
            </w:r>
          </w:p>
          <w:p w:rsidR="00952379" w:rsidRPr="00952379" w:rsidRDefault="00952379" w:rsidP="00952379">
            <w:pPr>
              <w:spacing w:after="0" w:line="240" w:lineRule="auto"/>
              <w:rPr>
                <w:szCs w:val="24"/>
              </w:rPr>
            </w:pPr>
            <w:r w:rsidRPr="00952379">
              <w:rPr>
                <w:szCs w:val="24"/>
              </w:rPr>
              <w:t xml:space="preserve">3. Иванов В.Н., </w:t>
            </w:r>
            <w:proofErr w:type="spellStart"/>
            <w:r w:rsidRPr="00952379">
              <w:rPr>
                <w:szCs w:val="24"/>
              </w:rPr>
              <w:t>Бобринский</w:t>
            </w:r>
            <w:proofErr w:type="spellEnd"/>
            <w:r w:rsidRPr="00952379">
              <w:rPr>
                <w:szCs w:val="24"/>
              </w:rPr>
              <w:t xml:space="preserve"> С.В.   Локомотивное хозяйство: методические указания к выполнению курсового проекта/сост. - СПб: ПГУПС, 2010. – 26 с.</w:t>
            </w:r>
          </w:p>
          <w:p w:rsidR="00952379" w:rsidRPr="00952379" w:rsidRDefault="00952379" w:rsidP="00952379">
            <w:pPr>
              <w:spacing w:after="0" w:line="240" w:lineRule="auto"/>
              <w:rPr>
                <w:szCs w:val="24"/>
              </w:rPr>
            </w:pPr>
            <w:r w:rsidRPr="00952379">
              <w:rPr>
                <w:szCs w:val="24"/>
              </w:rPr>
              <w:t xml:space="preserve">4. Иванов В.Н., </w:t>
            </w:r>
            <w:proofErr w:type="spellStart"/>
            <w:r w:rsidRPr="00952379">
              <w:rPr>
                <w:szCs w:val="24"/>
              </w:rPr>
              <w:t>Бобринский</w:t>
            </w:r>
            <w:proofErr w:type="spellEnd"/>
            <w:r w:rsidRPr="00952379">
              <w:rPr>
                <w:szCs w:val="24"/>
              </w:rPr>
              <w:t xml:space="preserve"> С.В. Построение графиков работы локомотивов и локомотивных бригад: методические указания. – СПб: ПГУПС, 2011. – 20 с.</w:t>
            </w:r>
          </w:p>
          <w:p w:rsidR="00952379" w:rsidRPr="00952379" w:rsidRDefault="00952379" w:rsidP="00952379">
            <w:pPr>
              <w:spacing w:after="0" w:line="240" w:lineRule="auto"/>
              <w:rPr>
                <w:szCs w:val="24"/>
              </w:rPr>
            </w:pPr>
            <w:r w:rsidRPr="00952379">
              <w:rPr>
                <w:szCs w:val="24"/>
              </w:rPr>
              <w:t>5. Иванов В.Н., Фролов А.В. Составление декадного графика локомотивов и именного графика работы локомотивных бригад. Методические указания. - СПб</w:t>
            </w:r>
            <w:proofErr w:type="gramStart"/>
            <w:r w:rsidRPr="00952379">
              <w:rPr>
                <w:szCs w:val="24"/>
              </w:rPr>
              <w:t xml:space="preserve">.: </w:t>
            </w:r>
            <w:proofErr w:type="gramEnd"/>
            <w:r w:rsidRPr="00952379">
              <w:rPr>
                <w:szCs w:val="24"/>
              </w:rPr>
              <w:t>ПГУПС, 2012 – 16с.</w:t>
            </w:r>
          </w:p>
          <w:p w:rsidR="00952379" w:rsidRPr="00952379" w:rsidRDefault="00952379" w:rsidP="00952379">
            <w:pPr>
              <w:spacing w:after="0" w:line="240" w:lineRule="auto"/>
              <w:rPr>
                <w:szCs w:val="24"/>
              </w:rPr>
            </w:pPr>
            <w:r w:rsidRPr="00952379">
              <w:rPr>
                <w:szCs w:val="24"/>
              </w:rPr>
              <w:t xml:space="preserve">6. Иванов В.Н. Локомотивное хозяйство (экипировка локомотивов): методические указания. – СПб: ПГУПС, 2014. – 23 с. </w:t>
            </w: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before="120"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 xml:space="preserve">Выбор производственной мощности и месторасположения линейных предприятий локомотивного хозяйства. Оборудование для ремонта локомотивов. 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 xml:space="preserve">Определение штата ремонтных цехов. 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 xml:space="preserve">Организация технического обслуживания локомотивов. 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hd w:val="clear" w:color="auto" w:fill="FFFFFF"/>
              <w:tabs>
                <w:tab w:val="left" w:leader="underscore" w:pos="9639"/>
              </w:tabs>
              <w:spacing w:before="14"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>Экипировочное хозяйство. Топливное и смазочное хозяйства.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>Устройства для снабжения локомотивов песком. Устройства для приготовления охлаждающей воды и воды для аккумуляторных батарей.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both"/>
              <w:rPr>
                <w:szCs w:val="24"/>
              </w:rPr>
            </w:pPr>
            <w:r w:rsidRPr="00952379">
              <w:rPr>
                <w:szCs w:val="24"/>
              </w:rPr>
              <w:t>Здания локомотивного хозяйства.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  <w:tr w:rsidR="00952379" w:rsidRPr="00952379" w:rsidTr="00BD25B8">
        <w:trPr>
          <w:cantSplit/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szCs w:val="24"/>
              </w:rPr>
            </w:pPr>
            <w:r w:rsidRPr="00952379">
              <w:rPr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both"/>
              <w:rPr>
                <w:szCs w:val="24"/>
              </w:rPr>
            </w:pPr>
            <w:r w:rsidRPr="00952379">
              <w:rPr>
                <w:bCs/>
                <w:color w:val="000000"/>
                <w:spacing w:val="1"/>
                <w:szCs w:val="24"/>
              </w:rPr>
              <w:t>Тяговая территория локомотивного депо.</w:t>
            </w:r>
            <w:r w:rsidRPr="00952379">
              <w:rPr>
                <w:szCs w:val="24"/>
              </w:rPr>
              <w:t xml:space="preserve"> Этапы разработки проекта на строительство новых и реконструкцию существующих устройств и сооружений локомотивного хозяйства.   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952379" w:rsidRPr="00952379" w:rsidRDefault="00952379" w:rsidP="00952379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</w:tr>
    </w:tbl>
    <w:p w:rsidR="000A7762" w:rsidRDefault="000A7762" w:rsidP="0095237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52379" w:rsidRDefault="00952379" w:rsidP="00952379">
      <w:pPr>
        <w:shd w:val="clear" w:color="auto" w:fill="FFFFFF"/>
        <w:spacing w:after="0" w:line="240" w:lineRule="auto"/>
        <w:ind w:left="11" w:firstLine="84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</w:t>
      </w:r>
      <w:proofErr w:type="spellStart"/>
      <w:r>
        <w:rPr>
          <w:color w:val="000000"/>
          <w:spacing w:val="1"/>
          <w:sz w:val="28"/>
          <w:szCs w:val="28"/>
        </w:rPr>
        <w:t>Айзинбуд</w:t>
      </w:r>
      <w:proofErr w:type="spellEnd"/>
      <w:r>
        <w:rPr>
          <w:color w:val="000000"/>
          <w:spacing w:val="1"/>
          <w:sz w:val="28"/>
          <w:szCs w:val="28"/>
        </w:rPr>
        <w:t xml:space="preserve"> С.Я. Эксплуатация локомотивов. - М.: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Желдориздат</w:t>
      </w:r>
      <w:proofErr w:type="spellEnd"/>
      <w:r>
        <w:rPr>
          <w:sz w:val="28"/>
          <w:szCs w:val="28"/>
        </w:rPr>
        <w:t xml:space="preserve">», </w:t>
      </w:r>
      <w:r>
        <w:rPr>
          <w:color w:val="000000"/>
          <w:spacing w:val="1"/>
          <w:sz w:val="28"/>
          <w:szCs w:val="28"/>
        </w:rPr>
        <w:t xml:space="preserve">2003. – 262 с. </w:t>
      </w:r>
    </w:p>
    <w:p w:rsidR="00952379" w:rsidRDefault="00952379" w:rsidP="00952379">
      <w:pPr>
        <w:spacing w:after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Некрашевич В.И. Управление эксплуатацией локомотивов. - РГОТУПС, 2010. - 257с.</w:t>
      </w:r>
    </w:p>
    <w:p w:rsidR="007C68C6" w:rsidRPr="00040FD2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952379" w:rsidRDefault="00952379" w:rsidP="0095237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Некрашевич В.И. Использование поездных локомотивов в грузовом движении. - Гомель: </w:t>
      </w:r>
      <w:proofErr w:type="spellStart"/>
      <w:r>
        <w:rPr>
          <w:sz w:val="28"/>
          <w:szCs w:val="28"/>
        </w:rPr>
        <w:t>БелГУТ</w:t>
      </w:r>
      <w:proofErr w:type="spellEnd"/>
      <w:r>
        <w:rPr>
          <w:sz w:val="28"/>
          <w:szCs w:val="28"/>
        </w:rPr>
        <w:t>, 2003. - 269с</w:t>
      </w:r>
    </w:p>
    <w:p w:rsidR="007C68C6" w:rsidRPr="00E11F0B" w:rsidRDefault="007C68C6" w:rsidP="007C68C6">
      <w:pPr>
        <w:spacing w:after="0" w:line="240" w:lineRule="auto"/>
        <w:ind w:firstLine="90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11F0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11F0B" w:rsidRPr="00E11F0B" w:rsidRDefault="00952379" w:rsidP="00E11F0B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не предусмотрено;</w:t>
      </w:r>
    </w:p>
    <w:p w:rsidR="00952379" w:rsidRDefault="00952379" w:rsidP="007C68C6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52379" w:rsidRDefault="00952379" w:rsidP="009523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Иванов</w:t>
      </w:r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В.Н., </w:t>
      </w:r>
      <w:proofErr w:type="spellStart"/>
      <w:r>
        <w:rPr>
          <w:sz w:val="28"/>
          <w:szCs w:val="28"/>
        </w:rPr>
        <w:t>Бобринский</w:t>
      </w:r>
      <w:proofErr w:type="spellEnd"/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>С.В.   Локомотивное хозяйство: методические указания к выполнению курсового проекта/сост. - СПб: ПГУПС, 2010. – 26 с.</w:t>
      </w:r>
    </w:p>
    <w:p w:rsidR="00952379" w:rsidRDefault="00952379" w:rsidP="009523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Иванов В.Н., </w:t>
      </w:r>
      <w:proofErr w:type="spellStart"/>
      <w:r>
        <w:rPr>
          <w:sz w:val="28"/>
          <w:szCs w:val="28"/>
        </w:rPr>
        <w:t>Бобринский</w:t>
      </w:r>
      <w:proofErr w:type="spellEnd"/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Построение графиков работы локомотивов и локомотивных бригад: методические указания. – СПб: ПГУПС, 2011. – 20 с.  </w:t>
      </w:r>
    </w:p>
    <w:p w:rsidR="00952379" w:rsidRDefault="00952379" w:rsidP="00952379">
      <w:pPr>
        <w:pStyle w:val="ad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6725">
        <w:rPr>
          <w:sz w:val="28"/>
          <w:szCs w:val="28"/>
        </w:rPr>
        <w:t>.</w:t>
      </w:r>
      <w:r>
        <w:rPr>
          <w:sz w:val="28"/>
          <w:szCs w:val="28"/>
        </w:rPr>
        <w:t>Иванов В.Н., Фролов А.В. Составление декадного графика локомотивов и именного графика работы локомотивных бригад. Методические указания.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2012 – 16с.</w:t>
      </w:r>
    </w:p>
    <w:p w:rsidR="00952379" w:rsidRDefault="00952379" w:rsidP="00952379">
      <w:pPr>
        <w:pStyle w:val="ad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Иванов В.Н. Локомотивное хозяйство (экипировка локомотивов): методические указания. – СПб: ПГУПС, 2014. – 23 с. </w:t>
      </w:r>
    </w:p>
    <w:p w:rsidR="00104973" w:rsidRPr="00104973" w:rsidRDefault="00104973" w:rsidP="009523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4E4F" w:rsidRPr="00104973" w:rsidRDefault="001B4E4F" w:rsidP="001B4E4F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B4E4F" w:rsidRPr="00867C3A" w:rsidRDefault="001B4E4F" w:rsidP="001B4E4F">
      <w:pPr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9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1B4E4F" w:rsidRPr="00D46480" w:rsidRDefault="001B4E4F" w:rsidP="001B4E4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46480">
        <w:rPr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1B4E4F" w:rsidRPr="00104973" w:rsidRDefault="001B4E4F" w:rsidP="001B4E4F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lastRenderedPageBreak/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1B4E4F" w:rsidRPr="00104973" w:rsidRDefault="001B4E4F" w:rsidP="001B4E4F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B4E4F" w:rsidRDefault="001B4E4F" w:rsidP="001B4E4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B4E4F" w:rsidRPr="00104973" w:rsidRDefault="001B4E4F" w:rsidP="001B4E4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Порядок изучения дисциплины следующий:</w:t>
      </w:r>
    </w:p>
    <w:p w:rsidR="001B4E4F" w:rsidRPr="00104973" w:rsidRDefault="001B4E4F" w:rsidP="001B4E4F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B4E4F" w:rsidRPr="000E06FD" w:rsidRDefault="001B4E4F" w:rsidP="001B4E4F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0E06FD">
        <w:rPr>
          <w:sz w:val="28"/>
          <w:szCs w:val="28"/>
          <w:lang w:eastAsia="ru-RU"/>
        </w:rPr>
        <w:t>деятельности, предусмотренные текущим контролем (см. фонд оценочных средств по дисциплине).</w:t>
      </w:r>
    </w:p>
    <w:p w:rsidR="001B4E4F" w:rsidRPr="00A059CC" w:rsidRDefault="001B4E4F" w:rsidP="001B4E4F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 w:rsidRPr="000E06FD">
        <w:rPr>
          <w:sz w:val="28"/>
          <w:szCs w:val="28"/>
          <w:lang w:eastAsia="ru-RU"/>
        </w:rPr>
        <w:t>По итогам</w:t>
      </w:r>
      <w:r w:rsidRPr="007F2627">
        <w:rPr>
          <w:sz w:val="28"/>
          <w:szCs w:val="28"/>
          <w:lang w:eastAsia="ru-RU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B4E4F" w:rsidRPr="007F2627" w:rsidRDefault="001B4E4F" w:rsidP="001B4E4F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b/>
          <w:bCs/>
          <w:sz w:val="28"/>
          <w:szCs w:val="28"/>
          <w:lang w:eastAsia="ru-RU"/>
        </w:rPr>
      </w:pPr>
    </w:p>
    <w:p w:rsidR="001B4E4F" w:rsidRPr="007F2627" w:rsidRDefault="001B4E4F" w:rsidP="001B4E4F">
      <w:pPr>
        <w:widowControl w:val="0"/>
        <w:tabs>
          <w:tab w:val="left" w:pos="1418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F2627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B4E4F" w:rsidRDefault="001B4E4F" w:rsidP="001B4E4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B4E4F" w:rsidRDefault="001B4E4F" w:rsidP="001B4E4F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B4E4F" w:rsidRPr="00D46480" w:rsidRDefault="001B4E4F" w:rsidP="001B4E4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1B4E4F" w:rsidRPr="00D46480" w:rsidRDefault="001B4E4F" w:rsidP="001B4E4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1B4E4F" w:rsidRPr="00867C3A" w:rsidRDefault="001B4E4F" w:rsidP="001B4E4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1B4E4F" w:rsidRPr="00404C74" w:rsidRDefault="001B4E4F" w:rsidP="001B4E4F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1B4E4F" w:rsidRPr="00104973" w:rsidRDefault="001B4E4F" w:rsidP="001B4E4F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B4E4F" w:rsidRDefault="001B4E4F" w:rsidP="001B4E4F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1B4E4F" w:rsidRPr="00404C74" w:rsidRDefault="001B4E4F" w:rsidP="001B4E4F">
      <w:pPr>
        <w:spacing w:after="0" w:line="240" w:lineRule="auto"/>
        <w:ind w:firstLine="709"/>
        <w:jc w:val="both"/>
        <w:rPr>
          <w:sz w:val="28"/>
          <w:szCs w:val="28"/>
        </w:rPr>
      </w:pPr>
      <w:r w:rsidRPr="00404C74">
        <w:rPr>
          <w:sz w:val="28"/>
          <w:szCs w:val="28"/>
        </w:rPr>
        <w:t xml:space="preserve">Материально-техническая база, используемая при изучении данной дисциплины, соответствует действующим санитарным и противопожарным </w:t>
      </w:r>
      <w:r w:rsidRPr="00404C74">
        <w:rPr>
          <w:sz w:val="28"/>
          <w:szCs w:val="28"/>
        </w:rPr>
        <w:lastRenderedPageBreak/>
        <w:t>правилам и нормам и обеспечивает проведение всех видов занятий, предусмотренных учебным планом для данной дисциплины.</w:t>
      </w:r>
    </w:p>
    <w:p w:rsidR="001B4E4F" w:rsidRPr="00404C74" w:rsidRDefault="001B4E4F" w:rsidP="001B4E4F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Она содержит:</w:t>
      </w:r>
    </w:p>
    <w:p w:rsidR="001B4E4F" w:rsidRPr="00404C74" w:rsidRDefault="001B4E4F" w:rsidP="001B4E4F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для проведения занятий лекционного типа, занятий семинарского типа, выполнения курсовых работ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4-101 и 4-107.</w:t>
      </w:r>
    </w:p>
    <w:p w:rsidR="001B4E4F" w:rsidRPr="00404C74" w:rsidRDefault="001B4E4F" w:rsidP="001B4E4F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для проведения</w:t>
      </w:r>
      <w:r>
        <w:rPr>
          <w:sz w:val="28"/>
          <w:szCs w:val="28"/>
        </w:rPr>
        <w:t xml:space="preserve"> практических работ используются компьютерный класс (ауд. 4-102), аудитории 4-101 и 4-107, оборудованные специальной мебелью и необходимыми техническими средствами обучения;</w:t>
      </w:r>
    </w:p>
    <w:p w:rsidR="001B4E4F" w:rsidRPr="00404C74" w:rsidRDefault="001B4E4F" w:rsidP="001B4E4F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групповые и индивидуальные консультации, текущий контроль и промежуточная аттестация могут проводиться в аудиториях 4-101, 4-102, 4-104, 4-107 и 4-109, укомплектованных специализированной мебелью;</w:t>
      </w:r>
    </w:p>
    <w:p w:rsidR="001B4E4F" w:rsidRPr="00404C74" w:rsidRDefault="001B4E4F" w:rsidP="001B4E4F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работы студентов используется аудитория 4-102.</w:t>
      </w:r>
      <w:r>
        <w:rPr>
          <w:sz w:val="28"/>
          <w:szCs w:val="28"/>
        </w:rPr>
        <w:t xml:space="preserve"> Для самостоятельной работы студентов могут использоваться помещения библиотеки Университета, в том числе компьютерный класс в аудитории 6-314.</w:t>
      </w:r>
    </w:p>
    <w:p w:rsidR="001B4E4F" w:rsidRDefault="001B4E4F" w:rsidP="001B4E4F">
      <w:pPr>
        <w:spacing w:line="240" w:lineRule="auto"/>
        <w:rPr>
          <w:sz w:val="28"/>
          <w:szCs w:val="28"/>
        </w:rPr>
      </w:pPr>
    </w:p>
    <w:p w:rsidR="001B4E4F" w:rsidRDefault="001B4E4F" w:rsidP="001B4E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Разработчик программы: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1B4E4F" w:rsidTr="008E229B">
        <w:tc>
          <w:tcPr>
            <w:tcW w:w="4361" w:type="dxa"/>
          </w:tcPr>
          <w:p w:rsidR="001B4E4F" w:rsidRDefault="001B4E4F" w:rsidP="008E229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Заведующий кафедрой «Локомотивы и локомотивное хозяйство</w:t>
            </w:r>
          </w:p>
          <w:p w:rsidR="001B4E4F" w:rsidRDefault="001B4E4F" w:rsidP="008E229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28.11.2016</w:t>
            </w:r>
          </w:p>
        </w:tc>
        <w:tc>
          <w:tcPr>
            <w:tcW w:w="2693" w:type="dxa"/>
          </w:tcPr>
          <w:p w:rsidR="001B4E4F" w:rsidRDefault="001B4E4F" w:rsidP="008E229B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9433" cy="800100"/>
                  <wp:effectExtent l="19050" t="0" r="3617" b="0"/>
                  <wp:docPr id="12" name="Рисунок 2" descr="C:\Users\123\Desktop\Подготовка к акредитации 2017\мо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Подготовка к акредитации 2017\моя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33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E4F" w:rsidRDefault="001B4E4F" w:rsidP="008E229B">
            <w:pPr>
              <w:spacing w:line="276" w:lineRule="auto"/>
              <w:rPr>
                <w:rFonts w:eastAsia="Calibri"/>
                <w:snapToGrid w:val="0"/>
                <w:sz w:val="28"/>
                <w:szCs w:val="28"/>
              </w:rPr>
            </w:pPr>
          </w:p>
          <w:p w:rsidR="001B4E4F" w:rsidRDefault="001B4E4F" w:rsidP="008E229B">
            <w:pPr>
              <w:spacing w:line="276" w:lineRule="auto"/>
              <w:jc w:val="right"/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Д.Н. Курилкин</w:t>
            </w:r>
          </w:p>
        </w:tc>
      </w:tr>
    </w:tbl>
    <w:p w:rsidR="001B4E4F" w:rsidRPr="000A7762" w:rsidRDefault="001B4E4F" w:rsidP="001B4E4F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4E4F" w:rsidRDefault="001B4E4F" w:rsidP="001B4E4F">
      <w:pPr>
        <w:spacing w:after="0" w:line="240" w:lineRule="auto"/>
        <w:jc w:val="both"/>
        <w:rPr>
          <w:rFonts w:cs="Times New Roman"/>
          <w:szCs w:val="24"/>
        </w:rPr>
      </w:pPr>
    </w:p>
    <w:p w:rsidR="00AC309A" w:rsidRDefault="00AC309A" w:rsidP="0056136A">
      <w:pPr>
        <w:spacing w:after="0" w:line="240" w:lineRule="auto"/>
        <w:rPr>
          <w:rFonts w:cs="Times New Roman"/>
          <w:szCs w:val="24"/>
        </w:rPr>
      </w:pPr>
    </w:p>
    <w:sectPr w:rsidR="00AC309A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3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8"/>
  </w:num>
  <w:num w:numId="4">
    <w:abstractNumId w:val="10"/>
  </w:num>
  <w:num w:numId="5">
    <w:abstractNumId w:val="35"/>
  </w:num>
  <w:num w:numId="6">
    <w:abstractNumId w:val="31"/>
  </w:num>
  <w:num w:numId="7">
    <w:abstractNumId w:val="21"/>
  </w:num>
  <w:num w:numId="8">
    <w:abstractNumId w:val="26"/>
  </w:num>
  <w:num w:numId="9">
    <w:abstractNumId w:val="1"/>
  </w:num>
  <w:num w:numId="10">
    <w:abstractNumId w:val="19"/>
  </w:num>
  <w:num w:numId="11">
    <w:abstractNumId w:val="25"/>
  </w:num>
  <w:num w:numId="12">
    <w:abstractNumId w:val="36"/>
  </w:num>
  <w:num w:numId="13">
    <w:abstractNumId w:val="3"/>
  </w:num>
  <w:num w:numId="14">
    <w:abstractNumId w:val="12"/>
  </w:num>
  <w:num w:numId="15">
    <w:abstractNumId w:val="30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1"/>
  </w:num>
  <w:num w:numId="24">
    <w:abstractNumId w:val="34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3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29"/>
  </w:num>
  <w:num w:numId="32">
    <w:abstractNumId w:val="14"/>
  </w:num>
  <w:num w:numId="33">
    <w:abstractNumId w:val="8"/>
  </w:num>
  <w:num w:numId="34">
    <w:abstractNumId w:val="16"/>
  </w:num>
  <w:num w:numId="35">
    <w:abstractNumId w:val="33"/>
  </w:num>
  <w:num w:numId="36">
    <w:abstractNumId w:val="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77C0F"/>
    <w:rsid w:val="000A7762"/>
    <w:rsid w:val="000E1457"/>
    <w:rsid w:val="000E1F64"/>
    <w:rsid w:val="00104973"/>
    <w:rsid w:val="00145133"/>
    <w:rsid w:val="00161684"/>
    <w:rsid w:val="001679F7"/>
    <w:rsid w:val="00177750"/>
    <w:rsid w:val="001A7CF3"/>
    <w:rsid w:val="001B4E4F"/>
    <w:rsid w:val="001C7769"/>
    <w:rsid w:val="00206F90"/>
    <w:rsid w:val="00232020"/>
    <w:rsid w:val="00247578"/>
    <w:rsid w:val="002E322D"/>
    <w:rsid w:val="00367938"/>
    <w:rsid w:val="00397688"/>
    <w:rsid w:val="003B3D4C"/>
    <w:rsid w:val="003D1232"/>
    <w:rsid w:val="003F40BF"/>
    <w:rsid w:val="00430E52"/>
    <w:rsid w:val="00461115"/>
    <w:rsid w:val="00490B9A"/>
    <w:rsid w:val="004B0189"/>
    <w:rsid w:val="00510F3F"/>
    <w:rsid w:val="00516680"/>
    <w:rsid w:val="00552B7A"/>
    <w:rsid w:val="0056136A"/>
    <w:rsid w:val="00566189"/>
    <w:rsid w:val="005C553C"/>
    <w:rsid w:val="005F202F"/>
    <w:rsid w:val="0065667A"/>
    <w:rsid w:val="00666418"/>
    <w:rsid w:val="00667C47"/>
    <w:rsid w:val="006919BF"/>
    <w:rsid w:val="006E467E"/>
    <w:rsid w:val="006F6D98"/>
    <w:rsid w:val="00744617"/>
    <w:rsid w:val="00756BF0"/>
    <w:rsid w:val="00786C9E"/>
    <w:rsid w:val="00787EB1"/>
    <w:rsid w:val="007B19F4"/>
    <w:rsid w:val="007B555C"/>
    <w:rsid w:val="007C68C6"/>
    <w:rsid w:val="007D3251"/>
    <w:rsid w:val="007E115B"/>
    <w:rsid w:val="008175C3"/>
    <w:rsid w:val="00840B08"/>
    <w:rsid w:val="008A3A12"/>
    <w:rsid w:val="008A53E0"/>
    <w:rsid w:val="00937361"/>
    <w:rsid w:val="00943A36"/>
    <w:rsid w:val="00952379"/>
    <w:rsid w:val="00956591"/>
    <w:rsid w:val="009708E3"/>
    <w:rsid w:val="00A3244B"/>
    <w:rsid w:val="00A7053A"/>
    <w:rsid w:val="00AB260C"/>
    <w:rsid w:val="00AC309A"/>
    <w:rsid w:val="00B030B6"/>
    <w:rsid w:val="00B756AA"/>
    <w:rsid w:val="00BA24EB"/>
    <w:rsid w:val="00BF48B5"/>
    <w:rsid w:val="00C53D4D"/>
    <w:rsid w:val="00C8170D"/>
    <w:rsid w:val="00C94FD6"/>
    <w:rsid w:val="00CA314D"/>
    <w:rsid w:val="00D04C54"/>
    <w:rsid w:val="00D40E42"/>
    <w:rsid w:val="00D71B9D"/>
    <w:rsid w:val="00D8055E"/>
    <w:rsid w:val="00D82F08"/>
    <w:rsid w:val="00D9264A"/>
    <w:rsid w:val="00D96C21"/>
    <w:rsid w:val="00D96E0F"/>
    <w:rsid w:val="00DA7786"/>
    <w:rsid w:val="00DD1CDE"/>
    <w:rsid w:val="00DE069D"/>
    <w:rsid w:val="00E11F0B"/>
    <w:rsid w:val="00E30644"/>
    <w:rsid w:val="00E319B8"/>
    <w:rsid w:val="00E420CC"/>
    <w:rsid w:val="00E43DA8"/>
    <w:rsid w:val="00E446B0"/>
    <w:rsid w:val="00E540B0"/>
    <w:rsid w:val="00E55E7C"/>
    <w:rsid w:val="00E714E4"/>
    <w:rsid w:val="00EA58AC"/>
    <w:rsid w:val="00EF7023"/>
    <w:rsid w:val="00F227F0"/>
    <w:rsid w:val="00F22B2C"/>
    <w:rsid w:val="00F31240"/>
    <w:rsid w:val="00F35660"/>
    <w:rsid w:val="00F6025C"/>
    <w:rsid w:val="00FC62D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2">
    <w:name w:val="List Bullet 2"/>
    <w:basedOn w:val="a"/>
    <w:autoRedefine/>
    <w:uiPriority w:val="99"/>
    <w:rsid w:val="00510F3F"/>
    <w:pPr>
      <w:widowControl w:val="0"/>
      <w:spacing w:after="0" w:line="240" w:lineRule="auto"/>
      <w:ind w:left="283"/>
      <w:jc w:val="both"/>
    </w:pPr>
    <w:rPr>
      <w:rFonts w:eastAsia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B030B6"/>
    <w:rPr>
      <w:color w:val="800080" w:themeColor="followedHyperlink"/>
      <w:u w:val="single"/>
    </w:rPr>
  </w:style>
  <w:style w:type="paragraph" w:styleId="ad">
    <w:name w:val="Normal (Web)"/>
    <w:basedOn w:val="a"/>
    <w:rsid w:val="00952379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25EA-3E29-4E04-91CF-D8BF80AA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Anna</cp:lastModifiedBy>
  <cp:revision>5</cp:revision>
  <cp:lastPrinted>2016-09-20T07:06:00Z</cp:lastPrinted>
  <dcterms:created xsi:type="dcterms:W3CDTF">2017-03-13T11:48:00Z</dcterms:created>
  <dcterms:modified xsi:type="dcterms:W3CDTF">2017-12-22T09:32:00Z</dcterms:modified>
</cp:coreProperties>
</file>