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5" w:rsidRDefault="007F7BB5" w:rsidP="00744617">
      <w:pPr>
        <w:contextualSpacing/>
        <w:jc w:val="center"/>
        <w:rPr>
          <w:szCs w:val="24"/>
        </w:rPr>
      </w:pP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7F7BB5" w:rsidRPr="00152A7C" w:rsidRDefault="007F7BB5" w:rsidP="00744617">
      <w:pPr>
        <w:contextualSpacing/>
        <w:rPr>
          <w:szCs w:val="24"/>
        </w:rPr>
      </w:pP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F7BB5" w:rsidRPr="00152A7C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7BB5" w:rsidRPr="007E3C95" w:rsidRDefault="007F7BB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(Б1.В.ОД.5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7F7BB5" w:rsidRDefault="007F7BB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F7BB5" w:rsidRPr="000A364D" w:rsidRDefault="007F7BB5" w:rsidP="000A364D">
      <w:pPr>
        <w:tabs>
          <w:tab w:val="left" w:pos="1090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Целью изучения дисциплины «Общий курс железных дорог» является: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получение цельного представления о железнодорожном транспорте, его месте в единой транспортной системе страны, структуре и технических средствах, необходимых для обеспечения перевозочного процесса;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7F7BB5" w:rsidRPr="000A364D" w:rsidRDefault="007F7BB5" w:rsidP="000A364D">
      <w:pPr>
        <w:spacing w:after="0" w:line="240" w:lineRule="auto"/>
        <w:ind w:left="720"/>
        <w:jc w:val="both"/>
        <w:rPr>
          <w:szCs w:val="24"/>
        </w:rPr>
      </w:pPr>
      <w:r w:rsidRPr="000A364D">
        <w:rPr>
          <w:szCs w:val="24"/>
        </w:rPr>
        <w:t>Для достижения поставленной цели решаются следующие задачи: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изучение  устройства и работы раздельных пунктов;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7F7BB5" w:rsidRPr="00152A7C" w:rsidRDefault="007F7BB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F7BB5" w:rsidRPr="001764B9" w:rsidRDefault="007F7BB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ОК-4, ОК-8.</w:t>
      </w:r>
    </w:p>
    <w:p w:rsidR="007F7BB5" w:rsidRPr="001764B9" w:rsidRDefault="007F7BB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7F7BB5" w:rsidRPr="000A364D" w:rsidRDefault="007F7BB5" w:rsidP="000A364D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ЗНАТЬ: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основные сведения о комплексе сооружений, устройств и подвижном составе железных дорог; важнейшие показатели их работы; габариты на железных дорогах;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принципы устройства и работы локомотивов; классификацию, технико-экономические характеристики и основные элементы вагонов; систему технического обслуживания и ремонта подвижного состава;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систему организации железнодорожных перевозок и разработки графика движения поездов.</w:t>
      </w:r>
    </w:p>
    <w:p w:rsidR="007F7BB5" w:rsidRPr="000A364D" w:rsidRDefault="007F7BB5" w:rsidP="000A364D">
      <w:pPr>
        <w:tabs>
          <w:tab w:val="left" w:pos="0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УМЕТЬ:</w:t>
      </w:r>
    </w:p>
    <w:p w:rsidR="007F7BB5" w:rsidRPr="000A364D" w:rsidRDefault="007F7BB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читать графики движения поездов</w:t>
      </w:r>
      <w:r w:rsidRPr="000A364D">
        <w:rPr>
          <w:szCs w:val="24"/>
          <w:lang w:val="en-US"/>
        </w:rPr>
        <w:t>;</w:t>
      </w:r>
    </w:p>
    <w:p w:rsidR="007F7BB5" w:rsidRPr="000A364D" w:rsidRDefault="007F7BB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выполнять расчеты основных качественных и количественных показателей графика движения поездов;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проектировать простейшие объекты железнодорожной инфраструктуры.</w:t>
      </w:r>
    </w:p>
    <w:p w:rsidR="007F7BB5" w:rsidRPr="000A364D" w:rsidRDefault="007F7BB5" w:rsidP="000A364D">
      <w:pPr>
        <w:tabs>
          <w:tab w:val="left" w:pos="0"/>
          <w:tab w:val="left" w:pos="142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ВЛАДЕТЬ: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методикой построения масштабных планов простейших раздельных пунктов (разъездов и обгонных пунктов) и стрелочных улиц;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техникой прокладки линий хода поездов при построении графика движения поездов;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методами расчёта пропускной способности однопутных и двухпутных железных дорого при различных средствах сигнализации и связи по движению поездов.</w:t>
      </w:r>
    </w:p>
    <w:p w:rsidR="007F7BB5" w:rsidRPr="001764B9" w:rsidRDefault="007F7BB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F7BB5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№ п/п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Наименование разделов дисциплины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1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Общие сведения о железнодорожном транспорте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2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Путь и путевое хозяйство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3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1"/>
              </w:rPr>
              <w:t>Электроснабжение железных дорог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4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</w:rPr>
              <w:t>Подвижной состав. Локомотивное и вагонное хозяйства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5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Автоматика, телемеханика и связь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6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2"/>
              </w:rPr>
              <w:t>Раздельные пункты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7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Организация перевозок идвижения поездов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8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Скоростное и высокоскоростное движение пассажирских поездов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9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Метрополитены</w:t>
            </w:r>
          </w:p>
        </w:tc>
      </w:tr>
    </w:tbl>
    <w:p w:rsidR="007F7BB5" w:rsidRDefault="007F7BB5" w:rsidP="00744617">
      <w:pPr>
        <w:contextualSpacing/>
        <w:jc w:val="both"/>
        <w:rPr>
          <w:b/>
          <w:szCs w:val="24"/>
        </w:rPr>
      </w:pPr>
    </w:p>
    <w:p w:rsidR="007F7BB5" w:rsidRPr="00152A7C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34 </w:t>
      </w:r>
      <w:r w:rsidRPr="00152A7C">
        <w:rPr>
          <w:szCs w:val="24"/>
        </w:rPr>
        <w:t>час.</w:t>
      </w:r>
    </w:p>
    <w:p w:rsidR="007F7BB5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  <w:r>
        <w:rPr>
          <w:szCs w:val="24"/>
        </w:rPr>
        <w:t xml:space="preserve"> </w:t>
      </w: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49</w:t>
      </w:r>
      <w:r w:rsidRPr="00152A7C">
        <w:rPr>
          <w:szCs w:val="24"/>
        </w:rPr>
        <w:t xml:space="preserve"> час.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7F7BB5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7F7BB5" w:rsidRDefault="007F7BB5" w:rsidP="00744617">
      <w:pPr>
        <w:contextualSpacing/>
        <w:jc w:val="both"/>
        <w:rPr>
          <w:szCs w:val="24"/>
        </w:rPr>
      </w:pP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34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58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7F7BB5" w:rsidRDefault="007F7BB5" w:rsidP="001764B9">
      <w:pPr>
        <w:contextualSpacing/>
        <w:jc w:val="both"/>
        <w:rPr>
          <w:szCs w:val="24"/>
        </w:rPr>
      </w:pP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7F7BB5" w:rsidSect="001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A364D"/>
    <w:rsid w:val="000E1457"/>
    <w:rsid w:val="00104973"/>
    <w:rsid w:val="00145133"/>
    <w:rsid w:val="00152A7C"/>
    <w:rsid w:val="001679F7"/>
    <w:rsid w:val="001764B9"/>
    <w:rsid w:val="00184037"/>
    <w:rsid w:val="001A7CF3"/>
    <w:rsid w:val="00212D7A"/>
    <w:rsid w:val="00307EFF"/>
    <w:rsid w:val="00416BC7"/>
    <w:rsid w:val="00461115"/>
    <w:rsid w:val="00566189"/>
    <w:rsid w:val="005752D7"/>
    <w:rsid w:val="005A2389"/>
    <w:rsid w:val="00744617"/>
    <w:rsid w:val="00766872"/>
    <w:rsid w:val="007B19F4"/>
    <w:rsid w:val="007E3C95"/>
    <w:rsid w:val="007F7BB5"/>
    <w:rsid w:val="00963B0E"/>
    <w:rsid w:val="00986C3D"/>
    <w:rsid w:val="00A06D23"/>
    <w:rsid w:val="00B05C2E"/>
    <w:rsid w:val="00B60D09"/>
    <w:rsid w:val="00BA2FA1"/>
    <w:rsid w:val="00BF48B5"/>
    <w:rsid w:val="00CA314D"/>
    <w:rsid w:val="00CB7482"/>
    <w:rsid w:val="00D96C21"/>
    <w:rsid w:val="00D96E0F"/>
    <w:rsid w:val="00E420CC"/>
    <w:rsid w:val="00E446B0"/>
    <w:rsid w:val="00E540B0"/>
    <w:rsid w:val="00E55E7C"/>
    <w:rsid w:val="00F32B90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601</Words>
  <Characters>3429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4</cp:revision>
  <cp:lastPrinted>2016-09-20T07:06:00Z</cp:lastPrinted>
  <dcterms:created xsi:type="dcterms:W3CDTF">2017-01-10T20:03:00Z</dcterms:created>
  <dcterms:modified xsi:type="dcterms:W3CDTF">2017-02-03T11:38:00Z</dcterms:modified>
</cp:coreProperties>
</file>